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1:变量地址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以前寸地址范围是从0000开始的，现在的新款是从OX1000开始的，界面程序中的地址所有的建议修改成1000以后，可以在以前的基础上变量地址所有的直接加OX1000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2：切换页面等寄存器指令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以前屏切换页面等是用80或者81指令去操作寄存器</w:t>
      </w:r>
    </w:p>
    <w:p>
      <w:r>
        <w:drawing>
          <wp:inline distT="0" distB="0" distL="114300" distR="114300">
            <wp:extent cx="5271135" cy="3989705"/>
            <wp:effectExtent l="0" t="0" r="57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8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现在T5L的屏中是把以前的寄存器放到了变量地址0X1000之前了，所以像切换页面等都是用的82指令去操作的变量地址，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附件还有指令包，</w:t>
      </w:r>
    </w:p>
    <w:p>
      <w:r>
        <w:drawing>
          <wp:inline distT="0" distB="0" distL="114300" distR="114300">
            <wp:extent cx="5272405" cy="5401310"/>
            <wp:effectExtent l="0" t="0" r="444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01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3：字库空间规划，字库编号超过了范围的话建议用GB2312编码方式的字库去缩小空间，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以前屏的是</w:t>
      </w:r>
    </w:p>
    <w:p>
      <w:r>
        <w:drawing>
          <wp:inline distT="0" distB="0" distL="114300" distR="114300">
            <wp:extent cx="5273675" cy="926465"/>
            <wp:effectExtent l="0" t="0" r="317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新款的最大的编号是</w:t>
      </w:r>
      <w:r>
        <w:rPr>
          <w:rFonts w:hint="eastAsia"/>
          <w:lang w:val="en-US" w:eastAsia="zh-CN"/>
        </w:rPr>
        <w:t>63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具体规划图如下</w:t>
      </w:r>
    </w:p>
    <w:p>
      <w:r>
        <w:drawing>
          <wp:inline distT="0" distB="0" distL="114300" distR="114300">
            <wp:extent cx="5270500" cy="4032250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3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4：图片下载问题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前屏是直接下载的一张一张图片，然后新款的是需要在新软件上用ICL压缩工具选择做界面程序的一张一张的图片去压缩成一个ICL文件命名成32，屏出厂的时候识别图片文件只会识别32.ICL这个图片库文件，单独一张一张的下载是识别不了的，实际也可以吧现在的屏的图片理解成图标库文件</w:t>
      </w:r>
    </w:p>
    <w:p>
      <w:r>
        <w:drawing>
          <wp:inline distT="0" distB="0" distL="114300" distR="114300">
            <wp:extent cx="5266690" cy="3199765"/>
            <wp:effectExtent l="0" t="0" r="1016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99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5:快捷方法：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拥有之前的K600+屏的工程以后可以直接使用迪文的如下软件直接转换</w:t>
      </w:r>
    </w:p>
    <w:p>
      <w:r>
        <w:drawing>
          <wp:inline distT="0" distB="0" distL="114300" distR="114300">
            <wp:extent cx="5269230" cy="3435350"/>
            <wp:effectExtent l="0" t="0" r="7620" b="1270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3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直接打开文件</w:t>
      </w:r>
      <w:r>
        <w:rPr>
          <w:rFonts w:hint="eastAsia"/>
          <w:lang w:val="en-US" w:eastAsia="zh-CN"/>
        </w:rPr>
        <w:t>Dwprj.hmi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打开后选择需要保存的路径，点击开始转换即可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点击开始转换以后，所有的变量地址会统一增加0x1000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之前底图会默认压缩到32ICL，图标字库等会自动规划位置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转换之后，DWIN_SET文件夹里面没有底图，需要把原来工程里面的底图复制进新DWIN_SET文件夹里面然后用最新的T5L软件去打开新工程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注意事项：有可能一次转换不好，需要多转两次，进度条卡在98%也是正常现象</w:t>
      </w:r>
      <w:bookmarkStart w:id="0" w:name="_GoBack"/>
      <w:bookmarkEnd w:id="0"/>
    </w:p>
    <w:p>
      <w:r>
        <w:drawing>
          <wp:inline distT="0" distB="0" distL="114300" distR="114300">
            <wp:extent cx="5267325" cy="1653540"/>
            <wp:effectExtent l="0" t="0" r="9525" b="38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C2480"/>
    <w:rsid w:val="1A4236B9"/>
    <w:rsid w:val="1F5C6A2F"/>
    <w:rsid w:val="27B3252C"/>
    <w:rsid w:val="5B1E3DEB"/>
    <w:rsid w:val="649F73CC"/>
    <w:rsid w:val="69673DD9"/>
    <w:rsid w:val="73A87DC7"/>
    <w:rsid w:val="75633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zmj</dc:creator>
  <cp:lastModifiedBy>zmj</cp:lastModifiedBy>
  <dcterms:modified xsi:type="dcterms:W3CDTF">2022-01-07T00:59:51Z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