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微软雅黑" w:hAnsi="微软雅黑" w:eastAsia="微软雅黑" w:cs="微软雅黑"/>
          <w:b/>
          <w:bCs/>
          <w:sz w:val="36"/>
          <w:szCs w:val="36"/>
          <w:lang w:eastAsia="zh-CN"/>
        </w:rPr>
      </w:pPr>
    </w:p>
    <w:p>
      <w:pPr>
        <w:jc w:val="center"/>
        <w:rPr>
          <w:rFonts w:hint="eastAsia" w:ascii="微软雅黑" w:hAnsi="微软雅黑" w:eastAsia="微软雅黑" w:cs="微软雅黑"/>
          <w:b/>
          <w:bCs/>
          <w:sz w:val="36"/>
          <w:szCs w:val="36"/>
          <w:lang w:eastAsia="zh-CN"/>
        </w:rPr>
      </w:pPr>
    </w:p>
    <w:p>
      <w:pPr>
        <w:jc w:val="center"/>
        <w:rPr>
          <w:rFonts w:hint="eastAsia" w:ascii="微软雅黑" w:hAnsi="微软雅黑" w:eastAsia="微软雅黑" w:cs="微软雅黑"/>
          <w:b/>
          <w:bCs/>
          <w:sz w:val="36"/>
          <w:szCs w:val="36"/>
          <w:lang w:eastAsia="zh-CN"/>
        </w:rPr>
      </w:pPr>
    </w:p>
    <w:p>
      <w:pPr>
        <w:jc w:val="cente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eastAsia="zh-CN"/>
        </w:rPr>
        <w:t>固定式红外</w:t>
      </w:r>
      <w:r>
        <w:rPr>
          <w:rFonts w:hint="eastAsia" w:ascii="微软雅黑" w:hAnsi="微软雅黑" w:eastAsia="微软雅黑" w:cs="微软雅黑"/>
          <w:b/>
          <w:bCs/>
          <w:sz w:val="36"/>
          <w:szCs w:val="36"/>
          <w:lang w:val="en-US" w:eastAsia="zh-CN"/>
        </w:rPr>
        <w:t>/有毒/可燃</w:t>
      </w:r>
      <w:r>
        <w:rPr>
          <w:rFonts w:hint="eastAsia" w:ascii="微软雅黑" w:hAnsi="微软雅黑" w:eastAsia="微软雅黑" w:cs="微软雅黑"/>
          <w:b/>
          <w:bCs/>
          <w:sz w:val="36"/>
          <w:szCs w:val="36"/>
          <w:lang w:eastAsia="zh-CN"/>
        </w:rPr>
        <w:t>气体检测</w:t>
      </w:r>
      <w:r>
        <w:rPr>
          <w:rFonts w:hint="eastAsia" w:ascii="微软雅黑" w:hAnsi="微软雅黑" w:eastAsia="微软雅黑" w:cs="微软雅黑"/>
          <w:b/>
          <w:bCs/>
          <w:sz w:val="36"/>
          <w:szCs w:val="36"/>
          <w:lang w:val="en-US" w:eastAsia="zh-CN"/>
        </w:rPr>
        <w:t>报警器使用手册</w:t>
      </w:r>
    </w:p>
    <w:p>
      <w:pPr>
        <w:jc w:val="center"/>
        <w:rPr>
          <w:rFonts w:hint="eastAsia" w:ascii="微软雅黑" w:hAnsi="微软雅黑" w:eastAsia="微软雅黑" w:cs="微软雅黑"/>
          <w:b/>
          <w:bCs/>
          <w:sz w:val="36"/>
          <w:szCs w:val="36"/>
          <w:lang w:val="en-US" w:eastAsia="zh-CN"/>
        </w:rPr>
      </w:pPr>
      <w:r>
        <w:rPr>
          <w:rFonts w:hint="eastAsia" w:eastAsiaTheme="minorEastAsia"/>
          <w:b/>
          <w:bCs/>
          <w:sz w:val="24"/>
          <w:szCs w:val="24"/>
          <w:lang w:eastAsia="zh-CN"/>
        </w:rPr>
        <w:drawing>
          <wp:inline distT="0" distB="0" distL="114300" distR="114300">
            <wp:extent cx="4688205" cy="5114925"/>
            <wp:effectExtent l="0" t="0" r="17145" b="9525"/>
            <wp:docPr id="2" name="图片 2" descr="MIC-911带两个气室不带报警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IC-911带两个气室不带报警器"/>
                    <pic:cNvPicPr>
                      <a:picLocks noChangeAspect="1"/>
                    </pic:cNvPicPr>
                  </pic:nvPicPr>
                  <pic:blipFill>
                    <a:blip r:embed="rId4"/>
                    <a:stretch>
                      <a:fillRect/>
                    </a:stretch>
                  </pic:blipFill>
                  <pic:spPr>
                    <a:xfrm>
                      <a:off x="0" y="0"/>
                      <a:ext cx="4688205" cy="5114925"/>
                    </a:xfrm>
                    <a:prstGeom prst="rect">
                      <a:avLst/>
                    </a:prstGeom>
                  </pic:spPr>
                </pic:pic>
              </a:graphicData>
            </a:graphic>
          </wp:inline>
        </w:drawing>
      </w:r>
    </w:p>
    <w:p>
      <w:pPr>
        <w:jc w:val="right"/>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V.9版</w:t>
      </w:r>
    </w:p>
    <w:p>
      <w:pPr>
        <w:rPr>
          <w:rFonts w:hint="eastAsia"/>
        </w:rPr>
      </w:pPr>
    </w:p>
    <w:p>
      <w:pPr>
        <w:jc w:val="center"/>
        <w:rPr>
          <w:rFonts w:hint="eastAsia" w:eastAsiaTheme="minorEastAsia"/>
          <w:lang w:eastAsia="zh-CN"/>
        </w:rPr>
      </w:pPr>
    </w:p>
    <w:p>
      <w:pPr>
        <w:rPr>
          <w:rFonts w:hint="eastAsia"/>
        </w:rPr>
      </w:pPr>
    </w:p>
    <w:p>
      <w:pPr>
        <w:rPr>
          <w:rFonts w:hint="eastAsia"/>
          <w:b w:val="0"/>
          <w:bCs w:val="0"/>
        </w:rPr>
      </w:pPr>
    </w:p>
    <w:p>
      <w:pPr>
        <w:rPr>
          <w:rFonts w:hint="eastAsia"/>
          <w:b w:val="0"/>
          <w:bCs w:val="0"/>
        </w:rPr>
      </w:pPr>
      <w:r>
        <w:rPr>
          <w:rFonts w:hint="eastAsia"/>
          <w:b w:val="0"/>
          <w:bCs w:val="0"/>
        </w:rPr>
        <w:t xml:space="preserve">    为确保人身及系统安全，并使产品达到最佳性能，在安装、使用、维修前，请您详细阅读和理解本手册中的内容，特别是警告和注意事项。</w:t>
      </w:r>
    </w:p>
    <w:p>
      <w:pPr>
        <w:rPr>
          <w:rFonts w:hint="eastAsia"/>
        </w:rPr>
      </w:pPr>
    </w:p>
    <w:p>
      <w:pPr>
        <w:rPr>
          <w:rFonts w:hint="eastAsia"/>
        </w:rPr>
      </w:pPr>
      <w:r>
        <w:rPr>
          <w:rFonts w:hint="eastAsia"/>
          <w:sz w:val="24"/>
          <w:szCs w:val="24"/>
        </w:rPr>
        <w:t xml:space="preserve"> </w:t>
      </w:r>
      <w:r>
        <w:rPr>
          <w:rFonts w:hint="eastAsia"/>
        </w:rPr>
        <w:t xml:space="preserve">                                                                                   </w:t>
      </w:r>
    </w:p>
    <w:p>
      <w:pPr>
        <w:rPr>
          <w:rFonts w:hint="eastAsia" w:eastAsiaTheme="minorEastAsia"/>
          <w:b/>
          <w:bCs/>
          <w:sz w:val="24"/>
          <w:szCs w:val="24"/>
          <w:lang w:eastAsia="zh-CN"/>
        </w:rPr>
      </w:pPr>
      <w:r>
        <w:rPr>
          <w:rFonts w:hint="eastAsia"/>
          <w:b/>
          <w:bCs/>
          <w:sz w:val="24"/>
          <w:szCs w:val="24"/>
        </w:rPr>
        <w:t>概述</w:t>
      </w:r>
    </w:p>
    <w:p>
      <w:pPr>
        <w:rPr>
          <w:rFonts w:hint="eastAsia"/>
        </w:rPr>
      </w:pPr>
    </w:p>
    <w:p>
      <w:pPr>
        <w:ind w:firstLine="420" w:firstLineChars="200"/>
        <w:rPr>
          <w:rFonts w:hint="eastAsia"/>
        </w:rPr>
      </w:pPr>
      <w:r>
        <w:rPr>
          <w:rFonts w:hint="eastAsia"/>
        </w:rPr>
        <w:t>红外、有毒或可燃气体变送器，采用了先进的超大规模集成电路技术、国际标准智能化技术水准设计技术及专有数字模拟混合通讯技术而设计的完全智能化的气体变送器。智能气体变送器技术先进、性能卓越、稳定性高、具有通讯和自诊断功能、安装维护方便，典型的智能化现场监测仪表的先进性能得到了充分的展现，极大的满足了工业现场安全监测对设备高可靠性的要求，广泛应用于石油、化工、冶金、炼化、燃气输配、生化医药等行业。</w:t>
      </w:r>
    </w:p>
    <w:p>
      <w:pPr>
        <w:rPr>
          <w:rFonts w:hint="eastAsia"/>
        </w:rPr>
      </w:pPr>
    </w:p>
    <w:p>
      <w:pPr>
        <w:rPr>
          <w:rFonts w:hint="eastAsia"/>
          <w:b/>
          <w:bCs/>
          <w:sz w:val="24"/>
          <w:szCs w:val="24"/>
        </w:rPr>
      </w:pPr>
    </w:p>
    <w:p>
      <w:pPr>
        <w:rPr>
          <w:rFonts w:hint="eastAsia"/>
          <w:b/>
          <w:bCs/>
          <w:sz w:val="24"/>
          <w:szCs w:val="24"/>
        </w:rPr>
      </w:pPr>
      <w:r>
        <w:rPr>
          <w:rFonts w:hint="eastAsia"/>
          <w:b/>
          <w:bCs/>
          <w:sz w:val="24"/>
          <w:szCs w:val="24"/>
        </w:rPr>
        <w:t>技术特点</w:t>
      </w:r>
    </w:p>
    <w:p>
      <w:pPr>
        <w:rPr>
          <w:rFonts w:hint="eastAsia"/>
        </w:rPr>
      </w:pPr>
      <w:r>
        <w:rPr>
          <w:rFonts w:hint="eastAsia"/>
        </w:rPr>
        <w:t>1）完全实现了三线制气体变送器的数字化、智能化</w:t>
      </w:r>
    </w:p>
    <w:p>
      <w:pPr>
        <w:rPr>
          <w:rFonts w:hint="eastAsia"/>
        </w:rPr>
      </w:pPr>
      <w:r>
        <w:rPr>
          <w:rFonts w:hint="eastAsia"/>
        </w:rPr>
        <w:t>2）4-20mA标准信号/RS485-modbusRTU输出</w:t>
      </w:r>
    </w:p>
    <w:p>
      <w:pPr>
        <w:rPr>
          <w:rFonts w:hint="eastAsia"/>
        </w:rPr>
      </w:pPr>
      <w:r>
        <w:rPr>
          <w:rFonts w:hint="eastAsia"/>
        </w:rPr>
        <w:t>3）即插即用国际标准智能化传感器，现场维护非常方便</w:t>
      </w:r>
    </w:p>
    <w:p>
      <w:pPr>
        <w:rPr>
          <w:rFonts w:hint="eastAsia"/>
        </w:rPr>
      </w:pPr>
      <w:r>
        <w:rPr>
          <w:rFonts w:hint="eastAsia"/>
        </w:rPr>
        <w:t>4）独特的LCD带背光设计技术，现场设备的观察、维护不再受光线变化的困扰</w:t>
      </w:r>
    </w:p>
    <w:p>
      <w:pPr>
        <w:rPr>
          <w:rFonts w:hint="eastAsia"/>
        </w:rPr>
      </w:pPr>
      <w:r>
        <w:rPr>
          <w:rFonts w:hint="eastAsia"/>
        </w:rPr>
        <w:t>5）全量程范围的温度数字补偿</w:t>
      </w:r>
    </w:p>
    <w:p>
      <w:pPr>
        <w:rPr>
          <w:rFonts w:hint="eastAsia"/>
        </w:rPr>
      </w:pPr>
      <w:r>
        <w:rPr>
          <w:rFonts w:hint="eastAsia"/>
        </w:rPr>
        <w:t>6）内部自带按键实现变送器在现场自由组态，如查看、设定、校准</w:t>
      </w:r>
    </w:p>
    <w:p>
      <w:pPr>
        <w:rPr>
          <w:rFonts w:hint="eastAsia"/>
        </w:rPr>
      </w:pPr>
      <w:r>
        <w:rPr>
          <w:rFonts w:hint="eastAsia"/>
        </w:rPr>
        <w:t>7）本安电路及防爆外壳设计，现场维护安全、方便、快捷</w:t>
      </w:r>
    </w:p>
    <w:p>
      <w:pPr>
        <w:rPr>
          <w:rFonts w:hint="eastAsia"/>
        </w:rPr>
      </w:pPr>
      <w:r>
        <w:rPr>
          <w:rFonts w:hint="eastAsia"/>
        </w:rPr>
        <w:t>8）采用专业的防电源浪涌、电磁干扰等三重屏蔽电路</w:t>
      </w:r>
    </w:p>
    <w:p>
      <w:pPr>
        <w:rPr>
          <w:rFonts w:hint="eastAsia"/>
        </w:rPr>
      </w:pPr>
    </w:p>
    <w:p>
      <w:pPr>
        <w:rPr>
          <w:rFonts w:hint="eastAsia"/>
        </w:rPr>
      </w:pPr>
    </w:p>
    <w:p>
      <w:pPr>
        <w:numPr>
          <w:ilvl w:val="0"/>
          <w:numId w:val="0"/>
        </w:numPr>
        <w:rPr>
          <w:rFonts w:hint="eastAsia"/>
          <w:b/>
          <w:bCs/>
          <w:sz w:val="24"/>
          <w:szCs w:val="24"/>
          <w:lang w:val="en-US" w:eastAsia="zh-CN"/>
        </w:rPr>
      </w:pPr>
      <w:r>
        <w:rPr>
          <w:rFonts w:hint="eastAsia"/>
          <w:b/>
          <w:bCs/>
          <w:sz w:val="24"/>
          <w:szCs w:val="24"/>
          <w:lang w:val="en-US" w:eastAsia="zh-CN"/>
        </w:rPr>
        <w:t>技术参数</w:t>
      </w:r>
    </w:p>
    <w:tbl>
      <w:tblPr>
        <w:tblStyle w:val="3"/>
        <w:tblW w:w="8220"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5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壳体材质</w:t>
            </w:r>
          </w:p>
        </w:tc>
        <w:tc>
          <w:tcPr>
            <w:tcW w:w="5805" w:type="dxa"/>
          </w:tcPr>
          <w:p>
            <w:pPr>
              <w:numPr>
                <w:ilvl w:val="0"/>
                <w:numId w:val="0"/>
              </w:numPr>
              <w:jc w:val="center"/>
              <w:rPr>
                <w:rFonts w:hint="eastAsia"/>
                <w:vertAlign w:val="baseline"/>
                <w:lang w:val="en-US" w:eastAsia="zh-CN"/>
              </w:rPr>
            </w:pPr>
            <w:r>
              <w:rPr>
                <w:rFonts w:hint="eastAsia"/>
                <w:vertAlign w:val="baseline"/>
                <w:lang w:val="en-US" w:eastAsia="zh-CN"/>
              </w:rPr>
              <w:t>铝合金防爆外壳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外形尺寸</w:t>
            </w:r>
          </w:p>
        </w:tc>
        <w:tc>
          <w:tcPr>
            <w:tcW w:w="5805" w:type="dxa"/>
          </w:tcPr>
          <w:p>
            <w:pPr>
              <w:numPr>
                <w:ilvl w:val="0"/>
                <w:numId w:val="0"/>
              </w:numPr>
              <w:jc w:val="center"/>
              <w:rPr>
                <w:rFonts w:hint="default"/>
                <w:vertAlign w:val="baseline"/>
                <w:lang w:val="en-US" w:eastAsia="zh-CN"/>
              </w:rPr>
            </w:pPr>
            <w:r>
              <w:rPr>
                <w:rFonts w:hint="eastAsia"/>
                <w:lang w:val="en-US" w:eastAsia="zh-CN"/>
              </w:rPr>
              <w:t>125X106X153mm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隔爆等级</w:t>
            </w:r>
          </w:p>
        </w:tc>
        <w:tc>
          <w:tcPr>
            <w:tcW w:w="5805" w:type="dxa"/>
          </w:tcPr>
          <w:p>
            <w:pPr>
              <w:numPr>
                <w:ilvl w:val="0"/>
                <w:numId w:val="0"/>
              </w:numPr>
              <w:jc w:val="center"/>
              <w:rPr>
                <w:rFonts w:hint="eastAsia"/>
                <w:vertAlign w:val="baseline"/>
                <w:lang w:val="en-US" w:eastAsia="zh-CN"/>
              </w:rPr>
            </w:pPr>
            <w:r>
              <w:rPr>
                <w:rFonts w:hint="eastAsia"/>
                <w:lang w:val="en-US" w:eastAsia="zh-CN"/>
              </w:rPr>
              <w:t>Ex d IIC 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5" w:type="dxa"/>
          </w:tcPr>
          <w:p>
            <w:pPr>
              <w:numPr>
                <w:ilvl w:val="0"/>
                <w:numId w:val="0"/>
              </w:numPr>
              <w:jc w:val="center"/>
              <w:rPr>
                <w:rFonts w:hint="default"/>
                <w:vertAlign w:val="baseline"/>
                <w:lang w:val="en-US" w:eastAsia="zh-CN"/>
              </w:rPr>
            </w:pPr>
            <w:r>
              <w:rPr>
                <w:rFonts w:hint="eastAsia"/>
                <w:vertAlign w:val="baseline"/>
                <w:lang w:val="en-US" w:eastAsia="zh-CN"/>
              </w:rPr>
              <w:t>本安等级</w:t>
            </w:r>
          </w:p>
        </w:tc>
        <w:tc>
          <w:tcPr>
            <w:tcW w:w="5805" w:type="dxa"/>
          </w:tcPr>
          <w:p>
            <w:pPr>
              <w:numPr>
                <w:ilvl w:val="0"/>
                <w:numId w:val="0"/>
              </w:numPr>
              <w:jc w:val="center"/>
              <w:rPr>
                <w:rFonts w:hint="eastAsia"/>
                <w:vertAlign w:val="baseline"/>
                <w:lang w:val="en-US" w:eastAsia="zh-CN"/>
              </w:rPr>
            </w:pPr>
            <w:r>
              <w:rPr>
                <w:rFonts w:hint="eastAsia"/>
                <w:lang w:val="en-US" w:eastAsia="zh-CN"/>
              </w:rPr>
              <w:t>Ex ia IIC 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防护等级</w:t>
            </w:r>
          </w:p>
        </w:tc>
        <w:tc>
          <w:tcPr>
            <w:tcW w:w="5805" w:type="dxa"/>
          </w:tcPr>
          <w:p>
            <w:pPr>
              <w:numPr>
                <w:ilvl w:val="0"/>
                <w:numId w:val="0"/>
              </w:numPr>
              <w:jc w:val="center"/>
              <w:rPr>
                <w:rFonts w:hint="default"/>
                <w:vertAlign w:val="baseline"/>
                <w:lang w:val="en-US" w:eastAsia="zh-CN"/>
              </w:rPr>
            </w:pPr>
            <w:r>
              <w:rPr>
                <w:rFonts w:hint="eastAsia"/>
                <w:vertAlign w:val="baseline"/>
                <w:lang w:val="en-US" w:eastAsia="zh-CN"/>
              </w:rPr>
              <w:t>IP66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整机重量</w:t>
            </w:r>
          </w:p>
        </w:tc>
        <w:tc>
          <w:tcPr>
            <w:tcW w:w="5805" w:type="dxa"/>
          </w:tcPr>
          <w:p>
            <w:pPr>
              <w:numPr>
                <w:ilvl w:val="0"/>
                <w:numId w:val="0"/>
              </w:numPr>
              <w:jc w:val="center"/>
              <w:rPr>
                <w:rFonts w:hint="default"/>
                <w:vertAlign w:val="baseline"/>
                <w:lang w:val="en-US" w:eastAsia="zh-CN"/>
              </w:rPr>
            </w:pPr>
            <w:r>
              <w:rPr>
                <w:rFonts w:hint="eastAsia"/>
                <w:vertAlign w:val="baseline"/>
                <w:lang w:val="en-US" w:eastAsia="zh-CN"/>
              </w:rPr>
              <w:t>1.8KG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5" w:type="dxa"/>
          </w:tcPr>
          <w:p>
            <w:pPr>
              <w:numPr>
                <w:ilvl w:val="0"/>
                <w:numId w:val="0"/>
              </w:numPr>
              <w:jc w:val="center"/>
              <w:rPr>
                <w:rFonts w:hint="default"/>
                <w:vertAlign w:val="baseline"/>
                <w:lang w:val="en-US" w:eastAsia="zh-CN"/>
              </w:rPr>
            </w:pPr>
            <w:r>
              <w:rPr>
                <w:rFonts w:hint="eastAsia"/>
                <w:vertAlign w:val="baseline"/>
                <w:lang w:val="en-US" w:eastAsia="zh-CN"/>
              </w:rPr>
              <w:t>LCD显示模式</w:t>
            </w:r>
          </w:p>
        </w:tc>
        <w:tc>
          <w:tcPr>
            <w:tcW w:w="5805" w:type="dxa"/>
          </w:tcPr>
          <w:p>
            <w:pPr>
              <w:numPr>
                <w:ilvl w:val="0"/>
                <w:numId w:val="0"/>
              </w:numPr>
              <w:jc w:val="center"/>
              <w:rPr>
                <w:rFonts w:hint="eastAsia"/>
                <w:vertAlign w:val="baseline"/>
                <w:lang w:val="en-US" w:eastAsia="zh-CN"/>
              </w:rPr>
            </w:pPr>
            <w:r>
              <w:rPr>
                <w:rFonts w:hint="eastAsia"/>
                <w:lang w:val="en-US" w:eastAsia="zh-CN"/>
              </w:rPr>
              <w:t>PPM、%LEL、%VOL、℃、%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工作环境温度</w:t>
            </w:r>
          </w:p>
        </w:tc>
        <w:tc>
          <w:tcPr>
            <w:tcW w:w="5805" w:type="dxa"/>
          </w:tcPr>
          <w:p>
            <w:pPr>
              <w:numPr>
                <w:ilvl w:val="0"/>
                <w:numId w:val="0"/>
              </w:numPr>
              <w:jc w:val="center"/>
              <w:rPr>
                <w:rFonts w:hint="eastAsia"/>
                <w:vertAlign w:val="baseline"/>
                <w:lang w:val="en-US" w:eastAsia="zh-CN"/>
              </w:rPr>
            </w:pPr>
            <w:r>
              <w:rPr>
                <w:rFonts w:hint="eastAsia"/>
                <w:lang w:val="en-US" w:eastAsia="zh-CN"/>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工作环境湿度</w:t>
            </w:r>
          </w:p>
        </w:tc>
        <w:tc>
          <w:tcPr>
            <w:tcW w:w="5805" w:type="dxa"/>
          </w:tcPr>
          <w:p>
            <w:pPr>
              <w:numPr>
                <w:ilvl w:val="0"/>
                <w:numId w:val="0"/>
              </w:numPr>
              <w:jc w:val="center"/>
              <w:rPr>
                <w:rFonts w:hint="eastAsia"/>
                <w:vertAlign w:val="baseline"/>
                <w:lang w:val="en-US" w:eastAsia="zh-CN"/>
              </w:rPr>
            </w:pPr>
            <w:r>
              <w:rPr>
                <w:rFonts w:hint="eastAsia"/>
                <w:lang w:val="en-US" w:eastAsia="zh-CN"/>
              </w:rPr>
              <w:t>10 ~ 95% RH（非凝露）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模拟信号输出</w:t>
            </w:r>
          </w:p>
        </w:tc>
        <w:tc>
          <w:tcPr>
            <w:tcW w:w="5805" w:type="dxa"/>
          </w:tcPr>
          <w:p>
            <w:pPr>
              <w:numPr>
                <w:ilvl w:val="0"/>
                <w:numId w:val="0"/>
              </w:numPr>
              <w:jc w:val="center"/>
              <w:rPr>
                <w:rFonts w:hint="eastAsia"/>
                <w:vertAlign w:val="baseline"/>
                <w:lang w:val="en-US" w:eastAsia="zh-CN"/>
              </w:rPr>
            </w:pPr>
            <w:r>
              <w:rPr>
                <w:rFonts w:hint="eastAsia"/>
                <w:lang w:val="en-US" w:eastAsia="zh-CN"/>
              </w:rPr>
              <w:t>三线制4-20mA 线性输出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数字信号输出</w:t>
            </w:r>
          </w:p>
        </w:tc>
        <w:tc>
          <w:tcPr>
            <w:tcW w:w="5805" w:type="dxa"/>
          </w:tcPr>
          <w:p>
            <w:pPr>
              <w:numPr>
                <w:ilvl w:val="0"/>
                <w:numId w:val="0"/>
              </w:numPr>
              <w:jc w:val="center"/>
              <w:rPr>
                <w:rFonts w:hint="eastAsia"/>
                <w:vertAlign w:val="baseline"/>
                <w:lang w:val="en-US" w:eastAsia="zh-CN"/>
              </w:rPr>
            </w:pPr>
            <w:r>
              <w:rPr>
                <w:rFonts w:hint="eastAsia"/>
                <w:lang w:val="en-US" w:eastAsia="zh-CN"/>
              </w:rPr>
              <w:t>RS485-modbusRTU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开关输出</w:t>
            </w:r>
          </w:p>
        </w:tc>
        <w:tc>
          <w:tcPr>
            <w:tcW w:w="5805" w:type="dxa"/>
          </w:tcPr>
          <w:p>
            <w:pPr>
              <w:numPr>
                <w:ilvl w:val="0"/>
                <w:numId w:val="0"/>
              </w:numPr>
              <w:jc w:val="center"/>
              <w:rPr>
                <w:rFonts w:hint="eastAsia"/>
                <w:vertAlign w:val="baseline"/>
                <w:lang w:val="en-US" w:eastAsia="zh-CN"/>
              </w:rPr>
            </w:pPr>
            <w:r>
              <w:rPr>
                <w:rFonts w:hint="eastAsia"/>
                <w:lang w:val="en-US" w:eastAsia="zh-CN"/>
              </w:rPr>
              <w:t>一路继电器输出(有源/无源可配置）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5" w:type="dxa"/>
          </w:tcPr>
          <w:p>
            <w:pPr>
              <w:numPr>
                <w:ilvl w:val="0"/>
                <w:numId w:val="0"/>
              </w:numPr>
              <w:jc w:val="center"/>
              <w:rPr>
                <w:rFonts w:hint="eastAsia"/>
                <w:vertAlign w:val="baseline"/>
                <w:lang w:val="en-US" w:eastAsia="zh-CN"/>
              </w:rPr>
            </w:pPr>
            <w:r>
              <w:rPr>
                <w:rFonts w:hint="eastAsia"/>
                <w:vertAlign w:val="baseline"/>
                <w:lang w:val="en-US" w:eastAsia="zh-CN"/>
              </w:rPr>
              <w:t>工作电压</w:t>
            </w:r>
          </w:p>
        </w:tc>
        <w:tc>
          <w:tcPr>
            <w:tcW w:w="5805" w:type="dxa"/>
          </w:tcPr>
          <w:p>
            <w:pPr>
              <w:numPr>
                <w:ilvl w:val="0"/>
                <w:numId w:val="0"/>
              </w:numPr>
              <w:jc w:val="center"/>
              <w:rPr>
                <w:rFonts w:hint="default"/>
                <w:vertAlign w:val="baseline"/>
                <w:lang w:val="en-US" w:eastAsia="zh-CN"/>
              </w:rPr>
            </w:pPr>
            <w:r>
              <w:rPr>
                <w:rFonts w:hint="eastAsia"/>
                <w:vertAlign w:val="baseline"/>
                <w:lang w:val="en-US" w:eastAsia="zh-CN"/>
              </w:rPr>
              <w:t>24VDC</w:t>
            </w:r>
          </w:p>
        </w:tc>
      </w:tr>
    </w:tbl>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ind w:leftChars="0"/>
        <w:rPr>
          <w:rFonts w:hint="eastAsia"/>
          <w:b/>
          <w:bCs/>
          <w:sz w:val="24"/>
          <w:szCs w:val="24"/>
          <w:lang w:val="en-US" w:eastAsia="zh-CN"/>
        </w:rPr>
      </w:pPr>
      <w:r>
        <w:rPr>
          <w:rFonts w:hint="eastAsia"/>
          <w:b/>
          <w:bCs/>
          <w:sz w:val="24"/>
          <w:szCs w:val="24"/>
          <w:lang w:val="en-US" w:eastAsia="zh-CN"/>
        </w:rPr>
        <w:t>产品结构</w:t>
      </w:r>
    </w:p>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1）总体结构</w:t>
      </w:r>
    </w:p>
    <w:p>
      <w:pPr>
        <w:numPr>
          <w:ilvl w:val="0"/>
          <w:numId w:val="0"/>
        </w:numPr>
        <w:ind w:leftChars="0"/>
        <w:rPr>
          <w:rFonts w:hint="eastAsia"/>
          <w:lang w:val="en-US" w:eastAsia="zh-CN"/>
        </w:rPr>
      </w:pPr>
      <w:r>
        <w:rPr>
          <w:rFonts w:hint="eastAsia"/>
          <w:lang w:val="en-US" w:eastAsia="zh-CN"/>
        </w:rPr>
        <w:t>检测仪外壳整体为防爆型，内部采用模块化设计，在维修或维护时可更换模块；</w:t>
      </w:r>
    </w:p>
    <w:p>
      <w:pPr>
        <w:numPr>
          <w:ilvl w:val="0"/>
          <w:numId w:val="0"/>
        </w:numPr>
        <w:ind w:leftChars="0"/>
        <w:rPr>
          <w:rFonts w:hint="eastAsia"/>
          <w:lang w:val="en-US" w:eastAsia="zh-CN"/>
        </w:rPr>
      </w:pPr>
      <w:r>
        <w:rPr>
          <w:rFonts w:hint="eastAsia"/>
          <w:lang w:val="en-US" w:eastAsia="zh-CN"/>
        </w:rPr>
        <w:t>也可根据客户需求灵活增加现场声光报警器或仪器不带显示功能。</w:t>
      </w:r>
    </w:p>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2）主要部件结构</w:t>
      </w:r>
    </w:p>
    <w:p>
      <w:pPr>
        <w:numPr>
          <w:ilvl w:val="0"/>
          <w:numId w:val="0"/>
        </w:numPr>
        <w:ind w:leftChars="0"/>
        <w:jc w:val="center"/>
        <w:rPr>
          <w:rFonts w:hint="default"/>
          <w:lang w:val="en-US" w:eastAsia="zh-CN"/>
        </w:rPr>
      </w:pPr>
    </w:p>
    <w:p>
      <w:pPr>
        <w:numPr>
          <w:ilvl w:val="0"/>
          <w:numId w:val="0"/>
        </w:numPr>
        <w:ind w:leftChars="0"/>
        <w:jc w:val="center"/>
        <w:rPr>
          <w:rFonts w:hint="default"/>
          <w:lang w:val="en-US" w:eastAsia="zh-CN"/>
        </w:rPr>
      </w:pPr>
      <w:r>
        <w:rPr>
          <w:rFonts w:hint="default"/>
          <w:lang w:val="en-US" w:eastAsia="zh-CN"/>
        </w:rPr>
        <w:drawing>
          <wp:inline distT="0" distB="0" distL="114300" distR="114300">
            <wp:extent cx="3776345" cy="3505200"/>
            <wp:effectExtent l="0" t="0" r="14605" b="0"/>
            <wp:docPr id="1" name="图片 1" descr="概述和特点参数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概述和特点参数3456"/>
                    <pic:cNvPicPr>
                      <a:picLocks noChangeAspect="1"/>
                    </pic:cNvPicPr>
                  </pic:nvPicPr>
                  <pic:blipFill>
                    <a:blip r:embed="rId5"/>
                    <a:srcRect l="55065" t="37173" r="5463" b="10709"/>
                    <a:stretch>
                      <a:fillRect/>
                    </a:stretch>
                  </pic:blipFill>
                  <pic:spPr>
                    <a:xfrm>
                      <a:off x="0" y="0"/>
                      <a:ext cx="3776345" cy="3505200"/>
                    </a:xfrm>
                    <a:prstGeom prst="rect">
                      <a:avLst/>
                    </a:prstGeom>
                  </pic:spPr>
                </pic:pic>
              </a:graphicData>
            </a:graphic>
          </wp:inline>
        </w:drawing>
      </w:r>
    </w:p>
    <w:p>
      <w:pPr>
        <w:numPr>
          <w:ilvl w:val="0"/>
          <w:numId w:val="0"/>
        </w:numPr>
        <w:ind w:leftChars="0"/>
        <w:rPr>
          <w:rFonts w:hint="default"/>
          <w:lang w:val="en-US" w:eastAsia="zh-CN"/>
        </w:rPr>
      </w:pPr>
      <w:r>
        <w:rPr>
          <w:rFonts w:hint="eastAsia"/>
          <w:b/>
          <w:bCs/>
          <w:lang w:val="en-US" w:eastAsia="zh-CN"/>
        </w:rPr>
        <w:t>3）整体尺寸</w:t>
      </w:r>
    </w:p>
    <w:p>
      <w:pPr>
        <w:numPr>
          <w:ilvl w:val="0"/>
          <w:numId w:val="0"/>
        </w:numPr>
        <w:ind w:leftChars="0"/>
        <w:jc w:val="center"/>
        <w:rPr>
          <w:rFonts w:hint="default"/>
          <w:lang w:val="en-US" w:eastAsia="zh-CN"/>
        </w:rPr>
      </w:pPr>
      <w:r>
        <w:rPr>
          <w:rFonts w:hint="default"/>
          <w:lang w:val="en-US" w:eastAsia="zh-CN"/>
        </w:rPr>
        <w:drawing>
          <wp:inline distT="0" distB="0" distL="114300" distR="114300">
            <wp:extent cx="4720590" cy="3691890"/>
            <wp:effectExtent l="0" t="0" r="3810" b="3810"/>
            <wp:docPr id="5" name="图片 5" descr="中性MIC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性MIC尺寸"/>
                    <pic:cNvPicPr>
                      <a:picLocks noChangeAspect="1"/>
                    </pic:cNvPicPr>
                  </pic:nvPicPr>
                  <pic:blipFill>
                    <a:blip r:embed="rId6"/>
                    <a:stretch>
                      <a:fillRect/>
                    </a:stretch>
                  </pic:blipFill>
                  <pic:spPr>
                    <a:xfrm>
                      <a:off x="0" y="0"/>
                      <a:ext cx="4720590" cy="3691890"/>
                    </a:xfrm>
                    <a:prstGeom prst="rect">
                      <a:avLst/>
                    </a:prstGeom>
                  </pic:spPr>
                </pic:pic>
              </a:graphicData>
            </a:graphic>
          </wp:inline>
        </w:drawing>
      </w:r>
    </w:p>
    <w:p>
      <w:pPr>
        <w:numPr>
          <w:ilvl w:val="0"/>
          <w:numId w:val="0"/>
        </w:numPr>
        <w:ind w:leftChars="0"/>
        <w:rPr>
          <w:rFonts w:hint="default"/>
          <w:lang w:val="en-US" w:eastAsia="zh-CN"/>
        </w:rPr>
      </w:pPr>
      <w:r>
        <w:rPr>
          <w:rFonts w:hint="default"/>
          <w:lang w:val="en-US" w:eastAsia="zh-CN"/>
        </w:rPr>
        <w:t>产品可壁挂或平放式安装，选用防爆铝合金材质坚固耐用，应用领域广，可用于风管、老化箱、工业等场所，仪器体积小，且可选玻璃显示面或不带显示全铝面，安装螺丝孔直径9mm。</w:t>
      </w:r>
    </w:p>
    <w:p>
      <w:pPr>
        <w:numPr>
          <w:ilvl w:val="0"/>
          <w:numId w:val="0"/>
        </w:numPr>
        <w:ind w:leftChars="0"/>
        <w:rPr>
          <w:rFonts w:hint="default"/>
          <w:lang w:val="en-US" w:eastAsia="zh-CN"/>
        </w:rPr>
      </w:pPr>
      <w:r>
        <w:rPr>
          <w:rFonts w:hint="default"/>
          <w:lang w:val="en-US" w:eastAsia="zh-CN"/>
        </w:rPr>
        <w:t>安装说明：</w:t>
      </w:r>
    </w:p>
    <w:p>
      <w:pPr>
        <w:numPr>
          <w:ilvl w:val="0"/>
          <w:numId w:val="0"/>
        </w:numPr>
        <w:ind w:leftChars="0"/>
        <w:rPr>
          <w:rFonts w:hint="default"/>
          <w:lang w:val="en-US" w:eastAsia="zh-CN"/>
        </w:rPr>
      </w:pPr>
      <w:r>
        <w:rPr>
          <w:rFonts w:hint="default"/>
          <w:lang w:val="en-US" w:eastAsia="zh-CN"/>
        </w:rPr>
        <w:t>1）检测仪可安装在室内或室外</w:t>
      </w:r>
    </w:p>
    <w:p>
      <w:pPr>
        <w:numPr>
          <w:ilvl w:val="0"/>
          <w:numId w:val="0"/>
        </w:numPr>
        <w:ind w:leftChars="0"/>
        <w:rPr>
          <w:rFonts w:hint="eastAsia"/>
          <w:b/>
          <w:bCs/>
          <w:sz w:val="24"/>
          <w:szCs w:val="24"/>
          <w:lang w:val="en-US" w:eastAsia="zh-CN"/>
        </w:rPr>
      </w:pPr>
      <w:r>
        <w:rPr>
          <w:rFonts w:hint="default"/>
          <w:lang w:val="en-US" w:eastAsia="zh-CN"/>
        </w:rPr>
        <w:t>2）应安装在气体最可能出现的地方，当被测气体比空气中，检测仪应安装在低位。安装时，气体传感器朝下，避免灰尘或雨水在传感器上堆积</w:t>
      </w:r>
    </w:p>
    <w:p>
      <w:pPr>
        <w:numPr>
          <w:ilvl w:val="0"/>
          <w:numId w:val="0"/>
        </w:numPr>
        <w:ind w:leftChars="0"/>
        <w:rPr>
          <w:rFonts w:hint="eastAsia"/>
          <w:b/>
          <w:bCs/>
          <w:sz w:val="24"/>
          <w:szCs w:val="24"/>
          <w:lang w:val="en-US" w:eastAsia="zh-CN"/>
        </w:rPr>
      </w:pPr>
      <w:r>
        <w:rPr>
          <w:rFonts w:hint="eastAsia"/>
          <w:b/>
          <w:bCs/>
          <w:sz w:val="24"/>
          <w:szCs w:val="24"/>
          <w:lang w:val="en-US" w:eastAsia="zh-CN"/>
        </w:rPr>
        <w:t>电气连接</w:t>
      </w:r>
    </w:p>
    <w:p>
      <w:pPr>
        <w:numPr>
          <w:ilvl w:val="0"/>
          <w:numId w:val="0"/>
        </w:numPr>
        <w:ind w:leftChars="0"/>
        <w:rPr>
          <w:rFonts w:hint="eastAsia"/>
          <w:b/>
          <w:bCs/>
          <w:sz w:val="24"/>
          <w:szCs w:val="24"/>
          <w:lang w:val="en-US" w:eastAsia="zh-CN"/>
        </w:rPr>
      </w:pPr>
    </w:p>
    <w:p>
      <w:pPr>
        <w:numPr>
          <w:ilvl w:val="0"/>
          <w:numId w:val="0"/>
        </w:numPr>
        <w:ind w:leftChars="0"/>
        <w:rPr>
          <w:rFonts w:hint="default"/>
          <w:lang w:val="en-US" w:eastAsia="zh-CN"/>
        </w:rPr>
      </w:pPr>
    </w:p>
    <w:p>
      <w:pPr>
        <w:numPr>
          <w:ilvl w:val="0"/>
          <w:numId w:val="0"/>
        </w:numPr>
        <w:ind w:leftChars="0"/>
        <w:jc w:val="center"/>
        <w:rPr>
          <w:rFonts w:hint="default"/>
          <w:lang w:val="en-US" w:eastAsia="zh-CN"/>
        </w:rPr>
      </w:pPr>
      <w:r>
        <w:rPr>
          <w:rFonts w:hint="default"/>
          <w:lang w:val="en-US" w:eastAsia="zh-CN"/>
        </w:rPr>
        <w:drawing>
          <wp:inline distT="0" distB="0" distL="114300" distR="114300">
            <wp:extent cx="5010150" cy="2765425"/>
            <wp:effectExtent l="0" t="0" r="0" b="15875"/>
            <wp:docPr id="3" name="图片 3" descr="56整体尺寸和电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6整体尺寸和电气"/>
                    <pic:cNvPicPr>
                      <a:picLocks noChangeAspect="1"/>
                    </pic:cNvPicPr>
                  </pic:nvPicPr>
                  <pic:blipFill>
                    <a:blip r:embed="rId7"/>
                    <a:srcRect l="54161" t="21572" r="5065" b="46405"/>
                    <a:stretch>
                      <a:fillRect/>
                    </a:stretch>
                  </pic:blipFill>
                  <pic:spPr>
                    <a:xfrm>
                      <a:off x="0" y="0"/>
                      <a:ext cx="5010150" cy="2765425"/>
                    </a:xfrm>
                    <a:prstGeom prst="rect">
                      <a:avLst/>
                    </a:prstGeom>
                  </pic:spPr>
                </pic:pic>
              </a:graphicData>
            </a:graphic>
          </wp:inline>
        </w:drawing>
      </w:r>
    </w:p>
    <w:p>
      <w:pPr>
        <w:numPr>
          <w:ilvl w:val="0"/>
          <w:numId w:val="0"/>
        </w:numPr>
        <w:ind w:leftChars="0"/>
        <w:jc w:val="center"/>
        <w:rPr>
          <w:rFonts w:hint="eastAsia"/>
          <w:b/>
          <w:bCs/>
          <w:lang w:val="en-US" w:eastAsia="zh-CN"/>
        </w:rPr>
      </w:pPr>
      <w:r>
        <w:rPr>
          <w:rFonts w:hint="eastAsia"/>
          <w:b/>
          <w:bCs/>
          <w:lang w:val="en-US" w:eastAsia="zh-CN"/>
        </w:rPr>
        <w:t>（内部连接板）</w:t>
      </w:r>
    </w:p>
    <w:p>
      <w:pPr>
        <w:numPr>
          <w:ilvl w:val="0"/>
          <w:numId w:val="0"/>
        </w:numPr>
        <w:ind w:leftChars="0"/>
        <w:rPr>
          <w:rFonts w:hint="eastAsia"/>
          <w:lang w:val="en-US" w:eastAsia="zh-CN"/>
        </w:rPr>
      </w:pPr>
    </w:p>
    <w:p>
      <w:pPr>
        <w:numPr>
          <w:ilvl w:val="0"/>
          <w:numId w:val="1"/>
        </w:numPr>
        <w:ind w:leftChars="0"/>
        <w:rPr>
          <w:rFonts w:hint="default"/>
          <w:lang w:val="en-US" w:eastAsia="zh-CN"/>
        </w:rPr>
      </w:pPr>
      <w:r>
        <w:rPr>
          <w:rFonts w:hint="default"/>
          <w:lang w:val="en-US" w:eastAsia="zh-CN"/>
        </w:rPr>
        <w:t>设备电源和模拟量输出端子接线说明：</w:t>
      </w:r>
    </w:p>
    <w:p>
      <w:pPr>
        <w:numPr>
          <w:ilvl w:val="0"/>
          <w:numId w:val="1"/>
        </w:numPr>
        <w:ind w:leftChars="0"/>
        <w:rPr>
          <w:rFonts w:hint="default"/>
          <w:lang w:val="en-US" w:eastAsia="zh-CN"/>
        </w:rPr>
      </w:pPr>
      <w:r>
        <w:rPr>
          <w:rFonts w:hint="default"/>
          <w:lang w:val="en-US" w:eastAsia="zh-CN"/>
        </w:rPr>
        <w:t>仪器最大供电电压：36VDC</w:t>
      </w:r>
    </w:p>
    <w:p>
      <w:pPr>
        <w:numPr>
          <w:ilvl w:val="0"/>
          <w:numId w:val="1"/>
        </w:numPr>
        <w:ind w:leftChars="0"/>
        <w:rPr>
          <w:rFonts w:hint="default"/>
          <w:lang w:val="en-US" w:eastAsia="zh-CN"/>
        </w:rPr>
      </w:pPr>
      <w:r>
        <w:rPr>
          <w:rFonts w:hint="default"/>
          <w:lang w:val="en-US" w:eastAsia="zh-CN"/>
        </w:rPr>
        <w:t>只针对MIC-911/TH，其他型号产品无输出</w:t>
      </w:r>
    </w:p>
    <w:p>
      <w:pPr>
        <w:numPr>
          <w:ilvl w:val="0"/>
          <w:numId w:val="1"/>
        </w:numPr>
        <w:ind w:leftChars="0"/>
        <w:rPr>
          <w:rFonts w:hint="default"/>
          <w:lang w:val="en-US" w:eastAsia="zh-CN"/>
        </w:rPr>
      </w:pPr>
      <w:r>
        <w:rPr>
          <w:rFonts w:hint="default"/>
          <w:lang w:val="en-US" w:eastAsia="zh-CN"/>
        </w:rPr>
        <w:t>除温湿度传感器以外的其他气体传感器输出端</w:t>
      </w:r>
    </w:p>
    <w:p>
      <w:pPr>
        <w:numPr>
          <w:ilvl w:val="0"/>
          <w:numId w:val="0"/>
        </w:numPr>
        <w:rPr>
          <w:rFonts w:hint="default"/>
          <w:lang w:val="en-US" w:eastAsia="zh-CN"/>
        </w:rPr>
      </w:pPr>
      <w:r>
        <w:rPr>
          <w:rFonts w:hint="default"/>
          <w:lang w:val="en-US" w:eastAsia="zh-CN"/>
        </w:rPr>
        <w:drawing>
          <wp:inline distT="0" distB="0" distL="114300" distR="114300">
            <wp:extent cx="5300980" cy="1363345"/>
            <wp:effectExtent l="0" t="0" r="13970" b="8255"/>
            <wp:docPr id="4" name="图片 4" descr="56整体尺寸和电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整体尺寸和电气"/>
                    <pic:cNvPicPr>
                      <a:picLocks noChangeAspect="1"/>
                    </pic:cNvPicPr>
                  </pic:nvPicPr>
                  <pic:blipFill>
                    <a:blip r:embed="rId7"/>
                    <a:srcRect l="52352" t="71666" r="3256" b="11550"/>
                    <a:stretch>
                      <a:fillRect/>
                    </a:stretch>
                  </pic:blipFill>
                  <pic:spPr>
                    <a:xfrm>
                      <a:off x="0" y="0"/>
                      <a:ext cx="5300980" cy="1363345"/>
                    </a:xfrm>
                    <a:prstGeom prst="rect">
                      <a:avLst/>
                    </a:prstGeom>
                  </pic:spPr>
                </pic:pic>
              </a:graphicData>
            </a:graphic>
          </wp:inline>
        </w:drawing>
      </w:r>
    </w:p>
    <w:p>
      <w:pPr>
        <w:numPr>
          <w:ilvl w:val="0"/>
          <w:numId w:val="0"/>
        </w:numPr>
        <w:rPr>
          <w:rFonts w:hint="default"/>
          <w:lang w:val="en-US" w:eastAsia="zh-CN"/>
        </w:rPr>
      </w:pPr>
    </w:p>
    <w:p>
      <w:pPr>
        <w:numPr>
          <w:ilvl w:val="0"/>
          <w:numId w:val="0"/>
        </w:numPr>
        <w:ind w:leftChars="0"/>
        <w:rPr>
          <w:rFonts w:hint="eastAsia"/>
          <w:b/>
          <w:bCs/>
          <w:sz w:val="24"/>
          <w:szCs w:val="24"/>
          <w:lang w:val="en-US" w:eastAsia="zh-CN"/>
        </w:rPr>
      </w:pPr>
      <w:r>
        <w:rPr>
          <w:rFonts w:hint="eastAsia"/>
          <w:b/>
          <w:bCs/>
          <w:sz w:val="24"/>
          <w:szCs w:val="24"/>
          <w:lang w:val="en-US" w:eastAsia="zh-CN"/>
        </w:rPr>
        <w:t>数据通信协议</w:t>
      </w:r>
    </w:p>
    <w:p>
      <w:pPr>
        <w:numPr>
          <w:ilvl w:val="0"/>
          <w:numId w:val="0"/>
        </w:numPr>
        <w:rPr>
          <w:rFonts w:hint="default"/>
          <w:lang w:val="en-US" w:eastAsia="zh-CN"/>
        </w:rPr>
      </w:pPr>
    </w:p>
    <w:p>
      <w:pPr>
        <w:numPr>
          <w:ilvl w:val="0"/>
          <w:numId w:val="0"/>
        </w:numPr>
        <w:rPr>
          <w:rFonts w:hint="default"/>
          <w:lang w:val="en-US" w:eastAsia="zh-CN"/>
        </w:rPr>
      </w:pPr>
      <w:r>
        <w:rPr>
          <w:rFonts w:hint="default"/>
          <w:lang w:val="en-US" w:eastAsia="zh-CN"/>
        </w:rPr>
        <w:t>RS485-modbusRTU数字通信协议</w:t>
      </w:r>
    </w:p>
    <w:p>
      <w:pPr>
        <w:numPr>
          <w:ilvl w:val="0"/>
          <w:numId w:val="0"/>
        </w:numPr>
        <w:rPr>
          <w:rFonts w:hint="default"/>
          <w:lang w:val="en-US" w:eastAsia="zh-CN"/>
        </w:rPr>
      </w:pPr>
      <w:r>
        <w:rPr>
          <w:rFonts w:hint="default"/>
          <w:lang w:val="en-US" w:eastAsia="zh-CN"/>
        </w:rPr>
        <w:t>1</w:t>
      </w:r>
      <w:r>
        <w:rPr>
          <w:rFonts w:hint="eastAsia"/>
          <w:lang w:val="en-US" w:eastAsia="zh-CN"/>
        </w:rPr>
        <w:t>）</w:t>
      </w:r>
      <w:r>
        <w:rPr>
          <w:rFonts w:hint="default"/>
          <w:lang w:val="en-US" w:eastAsia="zh-CN"/>
        </w:rPr>
        <w:t>采用MODBUS协议RS485的RTU通讯方式，主从式半双工通讯，主机呼叫从机地址，</w:t>
      </w:r>
    </w:p>
    <w:p>
      <w:pPr>
        <w:numPr>
          <w:ilvl w:val="0"/>
          <w:numId w:val="0"/>
        </w:numPr>
        <w:rPr>
          <w:rFonts w:hint="default"/>
          <w:lang w:val="en-US" w:eastAsia="zh-CN"/>
        </w:rPr>
      </w:pPr>
      <w:r>
        <w:rPr>
          <w:rFonts w:hint="default"/>
          <w:lang w:val="en-US" w:eastAsia="zh-CN"/>
        </w:rPr>
        <w:t>从机应答方式通讯。</w:t>
      </w:r>
    </w:p>
    <w:p>
      <w:pPr>
        <w:numPr>
          <w:ilvl w:val="0"/>
          <w:numId w:val="0"/>
        </w:numPr>
        <w:rPr>
          <w:rFonts w:hint="default"/>
          <w:lang w:val="en-US" w:eastAsia="zh-CN"/>
        </w:rPr>
      </w:pPr>
      <w:r>
        <w:rPr>
          <w:rFonts w:hint="default"/>
          <w:lang w:val="en-US" w:eastAsia="zh-CN"/>
        </w:rPr>
        <w:t>2</w:t>
      </w:r>
      <w:r>
        <w:rPr>
          <w:rFonts w:hint="eastAsia"/>
          <w:lang w:val="en-US" w:eastAsia="zh-CN"/>
        </w:rPr>
        <w:t>）</w:t>
      </w:r>
      <w:r>
        <w:rPr>
          <w:rFonts w:hint="default"/>
          <w:lang w:val="en-US" w:eastAsia="zh-CN"/>
        </w:rPr>
        <w:t>数据帧格式：1个起始地址位，8个数据位，1个停止位，无校验位。</w:t>
      </w:r>
    </w:p>
    <w:p>
      <w:pPr>
        <w:numPr>
          <w:ilvl w:val="0"/>
          <w:numId w:val="0"/>
        </w:numPr>
        <w:rPr>
          <w:rFonts w:hint="default"/>
          <w:lang w:val="en-US" w:eastAsia="zh-CN"/>
        </w:rPr>
      </w:pPr>
      <w:r>
        <w:rPr>
          <w:rFonts w:hint="default"/>
          <w:lang w:val="en-US" w:eastAsia="zh-CN"/>
        </w:rPr>
        <w:t>3</w:t>
      </w:r>
      <w:r>
        <w:rPr>
          <w:rFonts w:hint="eastAsia"/>
          <w:lang w:val="en-US" w:eastAsia="zh-CN"/>
        </w:rPr>
        <w:t>）</w:t>
      </w:r>
      <w:r>
        <w:rPr>
          <w:rFonts w:hint="default"/>
          <w:lang w:val="en-US" w:eastAsia="zh-CN"/>
        </w:rPr>
        <w:t>波特率：9600bps。</w:t>
      </w:r>
    </w:p>
    <w:p>
      <w:pPr>
        <w:numPr>
          <w:ilvl w:val="0"/>
          <w:numId w:val="0"/>
        </w:numPr>
        <w:rPr>
          <w:rFonts w:hint="default"/>
          <w:lang w:val="en-US" w:eastAsia="zh-CN"/>
        </w:rPr>
      </w:pPr>
      <w:r>
        <w:rPr>
          <w:rFonts w:hint="default"/>
          <w:lang w:val="en-US" w:eastAsia="zh-CN"/>
        </w:rPr>
        <w:t>4</w:t>
      </w:r>
      <w:r>
        <w:rPr>
          <w:rFonts w:hint="eastAsia"/>
          <w:lang w:val="en-US" w:eastAsia="zh-CN"/>
        </w:rPr>
        <w:t>）</w:t>
      </w:r>
      <w:r>
        <w:rPr>
          <w:rFonts w:hint="default"/>
          <w:lang w:val="en-US" w:eastAsia="zh-CN"/>
        </w:rPr>
        <w:t>消息帧包含：地址域，功能码域，数据域，CRC16检测域。</w:t>
      </w:r>
    </w:p>
    <w:p>
      <w:pPr>
        <w:numPr>
          <w:ilvl w:val="0"/>
          <w:numId w:val="0"/>
        </w:numPr>
        <w:rPr>
          <w:rFonts w:hint="default"/>
          <w:lang w:val="en-US" w:eastAsia="zh-CN"/>
        </w:rPr>
      </w:pPr>
      <w:r>
        <w:rPr>
          <w:rFonts w:hint="default"/>
          <w:lang w:val="en-US" w:eastAsia="zh-CN"/>
        </w:rPr>
        <w:t>5</w:t>
      </w:r>
      <w:r>
        <w:rPr>
          <w:rFonts w:hint="eastAsia"/>
          <w:lang w:val="en-US" w:eastAsia="zh-CN"/>
        </w:rPr>
        <w:t>）</w:t>
      </w:r>
      <w:r>
        <w:rPr>
          <w:rFonts w:hint="default"/>
          <w:lang w:val="en-US" w:eastAsia="zh-CN"/>
        </w:rPr>
        <w:t>本设备支持十六进制03H、06H功能码（即十进制03和06功能码）。其中03H用于</w:t>
      </w:r>
    </w:p>
    <w:p>
      <w:pPr>
        <w:numPr>
          <w:ilvl w:val="0"/>
          <w:numId w:val="0"/>
        </w:numPr>
        <w:rPr>
          <w:rFonts w:hint="default"/>
          <w:lang w:val="en-US" w:eastAsia="zh-CN"/>
        </w:rPr>
      </w:pPr>
      <w:r>
        <w:rPr>
          <w:rFonts w:hint="default"/>
          <w:lang w:val="en-US" w:eastAsia="zh-CN"/>
        </w:rPr>
        <w:t>读取设备堆栈，06H用于修改设备堆栈。</w:t>
      </w:r>
    </w:p>
    <w:p>
      <w:pPr>
        <w:numPr>
          <w:ilvl w:val="0"/>
          <w:numId w:val="0"/>
        </w:numPr>
        <w:ind w:leftChars="0"/>
        <w:rPr>
          <w:rFonts w:hint="default"/>
          <w:lang w:val="en-US" w:eastAsia="zh-CN"/>
        </w:rPr>
      </w:pPr>
      <w:r>
        <w:rPr>
          <w:rFonts w:hint="eastAsia"/>
          <w:lang w:val="en-US" w:eastAsia="zh-CN"/>
        </w:rPr>
        <w:t>6）</w:t>
      </w:r>
      <w:r>
        <w:rPr>
          <w:rFonts w:hint="default"/>
          <w:lang w:val="en-US" w:eastAsia="zh-CN"/>
        </w:rPr>
        <w:t>寄存器堆栈规划（*客户需根据自己的定制参数要求，读取相应寄存器数据</w:t>
      </w:r>
    </w:p>
    <w:p>
      <w:pPr>
        <w:numPr>
          <w:ilvl w:val="0"/>
          <w:numId w:val="0"/>
        </w:numPr>
        <w:ind w:leftChars="0"/>
        <w:rPr>
          <w:rFonts w:hint="default"/>
          <w:lang w:val="en-US" w:eastAsia="zh-CN"/>
        </w:rPr>
      </w:pPr>
    </w:p>
    <w:tbl>
      <w:tblPr>
        <w:tblStyle w:val="3"/>
        <w:tblW w:w="822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155"/>
        <w:gridCol w:w="1395"/>
        <w:gridCol w:w="1410"/>
        <w:gridCol w:w="1050"/>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00" w:type="dxa"/>
            <w:gridSpan w:val="2"/>
            <w:vAlign w:val="center"/>
          </w:tcPr>
          <w:p>
            <w:pPr>
              <w:numPr>
                <w:ilvl w:val="0"/>
                <w:numId w:val="0"/>
              </w:numPr>
              <w:jc w:val="center"/>
              <w:rPr>
                <w:rFonts w:hint="default"/>
                <w:vertAlign w:val="baseline"/>
                <w:lang w:val="en-US" w:eastAsia="zh-CN"/>
              </w:rPr>
            </w:pPr>
            <w:r>
              <w:rPr>
                <w:rFonts w:hint="eastAsia"/>
                <w:vertAlign w:val="baseline"/>
                <w:lang w:val="en-US" w:eastAsia="zh-CN"/>
              </w:rPr>
              <w:t>说明</w:t>
            </w:r>
          </w:p>
        </w:tc>
        <w:tc>
          <w:tcPr>
            <w:tcW w:w="1395" w:type="dxa"/>
            <w:vAlign w:val="center"/>
          </w:tcPr>
          <w:p>
            <w:pPr>
              <w:numPr>
                <w:ilvl w:val="0"/>
                <w:numId w:val="0"/>
              </w:numPr>
              <w:jc w:val="center"/>
              <w:rPr>
                <w:rFonts w:hint="default"/>
                <w:vertAlign w:val="baseline"/>
                <w:lang w:val="en-US" w:eastAsia="zh-CN"/>
              </w:rPr>
            </w:pPr>
            <w:r>
              <w:rPr>
                <w:rFonts w:hint="eastAsia"/>
                <w:vertAlign w:val="baseline"/>
                <w:lang w:val="en-US" w:eastAsia="zh-CN"/>
              </w:rPr>
              <w:t>寄存器地址</w:t>
            </w:r>
          </w:p>
        </w:tc>
        <w:tc>
          <w:tcPr>
            <w:tcW w:w="1410" w:type="dxa"/>
            <w:vAlign w:val="center"/>
          </w:tcPr>
          <w:p>
            <w:pPr>
              <w:numPr>
                <w:ilvl w:val="0"/>
                <w:numId w:val="0"/>
              </w:numPr>
              <w:jc w:val="center"/>
              <w:rPr>
                <w:rFonts w:hint="default"/>
                <w:vertAlign w:val="baseline"/>
                <w:lang w:val="en-US" w:eastAsia="zh-CN"/>
              </w:rPr>
            </w:pPr>
            <w:r>
              <w:rPr>
                <w:rFonts w:hint="eastAsia"/>
                <w:vertAlign w:val="baseline"/>
                <w:lang w:val="en-US" w:eastAsia="zh-CN"/>
              </w:rPr>
              <w:t>长度（字节）</w:t>
            </w:r>
          </w:p>
        </w:tc>
        <w:tc>
          <w:tcPr>
            <w:tcW w:w="1050" w:type="dxa"/>
            <w:vAlign w:val="center"/>
          </w:tcPr>
          <w:p>
            <w:pPr>
              <w:numPr>
                <w:ilvl w:val="0"/>
                <w:numId w:val="0"/>
              </w:numPr>
              <w:jc w:val="center"/>
              <w:rPr>
                <w:rFonts w:hint="default"/>
                <w:vertAlign w:val="baseline"/>
                <w:lang w:val="en-US" w:eastAsia="zh-CN"/>
              </w:rPr>
            </w:pPr>
            <w:r>
              <w:rPr>
                <w:rFonts w:hint="eastAsia"/>
                <w:vertAlign w:val="baseline"/>
                <w:lang w:val="en-US" w:eastAsia="zh-CN"/>
              </w:rPr>
              <w:t>小数点</w:t>
            </w:r>
          </w:p>
        </w:tc>
        <w:tc>
          <w:tcPr>
            <w:tcW w:w="2265" w:type="dxa"/>
            <w:vAlign w:val="center"/>
          </w:tcPr>
          <w:p>
            <w:pPr>
              <w:numPr>
                <w:ilvl w:val="0"/>
                <w:numId w:val="0"/>
              </w:numPr>
              <w:jc w:val="center"/>
              <w:rPr>
                <w:rFonts w:hint="default"/>
                <w:vertAlign w:val="baseline"/>
                <w:lang w:val="en-US" w:eastAsia="zh-CN"/>
              </w:rPr>
            </w:pPr>
            <w:r>
              <w:rPr>
                <w:rFonts w:hint="eastAsia"/>
                <w:vertAlign w:val="baseline"/>
                <w:lang w:val="en-US" w:eastAsia="zh-CN"/>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dxa"/>
            <w:vMerge w:val="restart"/>
            <w:vAlign w:val="center"/>
          </w:tcPr>
          <w:p>
            <w:pPr>
              <w:numPr>
                <w:ilvl w:val="0"/>
                <w:numId w:val="0"/>
              </w:numPr>
              <w:jc w:val="center"/>
              <w:rPr>
                <w:rFonts w:hint="eastAsia"/>
                <w:vertAlign w:val="baseline"/>
                <w:lang w:val="en-US" w:eastAsia="zh-CN"/>
              </w:rPr>
            </w:pPr>
            <w:r>
              <w:rPr>
                <w:rFonts w:hint="eastAsia"/>
                <w:vertAlign w:val="baseline"/>
                <w:lang w:val="en-US" w:eastAsia="zh-CN"/>
              </w:rPr>
              <w:t>传感器</w:t>
            </w:r>
          </w:p>
          <w:p>
            <w:pPr>
              <w:numPr>
                <w:ilvl w:val="0"/>
                <w:numId w:val="0"/>
              </w:numPr>
              <w:jc w:val="center"/>
              <w:rPr>
                <w:rFonts w:hint="default"/>
                <w:vertAlign w:val="baseline"/>
                <w:lang w:val="en-US" w:eastAsia="zh-CN"/>
              </w:rPr>
            </w:pPr>
            <w:r>
              <w:rPr>
                <w:rFonts w:hint="eastAsia"/>
                <w:vertAlign w:val="baseline"/>
                <w:lang w:val="en-US" w:eastAsia="zh-CN"/>
              </w:rPr>
              <w:t>数据段</w:t>
            </w:r>
          </w:p>
        </w:tc>
        <w:tc>
          <w:tcPr>
            <w:tcW w:w="1155" w:type="dxa"/>
            <w:vAlign w:val="center"/>
          </w:tcPr>
          <w:p>
            <w:pPr>
              <w:numPr>
                <w:ilvl w:val="0"/>
                <w:numId w:val="0"/>
              </w:numPr>
              <w:jc w:val="center"/>
              <w:rPr>
                <w:rFonts w:hint="default"/>
                <w:vertAlign w:val="baseline"/>
                <w:lang w:val="en-US" w:eastAsia="zh-CN"/>
              </w:rPr>
            </w:pPr>
            <w:r>
              <w:rPr>
                <w:rFonts w:hint="eastAsia"/>
                <w:vertAlign w:val="baseline"/>
                <w:lang w:val="en-US" w:eastAsia="zh-CN"/>
              </w:rPr>
              <w:t>SF6</w:t>
            </w:r>
          </w:p>
        </w:tc>
        <w:tc>
          <w:tcPr>
            <w:tcW w:w="1395" w:type="dxa"/>
            <w:vAlign w:val="center"/>
          </w:tcPr>
          <w:p>
            <w:pPr>
              <w:numPr>
                <w:ilvl w:val="0"/>
                <w:numId w:val="0"/>
              </w:numPr>
              <w:jc w:val="center"/>
              <w:rPr>
                <w:rFonts w:hint="default"/>
                <w:vertAlign w:val="baseline"/>
                <w:lang w:val="en-US" w:eastAsia="zh-CN"/>
              </w:rPr>
            </w:pPr>
            <w:r>
              <w:rPr>
                <w:rFonts w:hint="eastAsia"/>
                <w:vertAlign w:val="baseline"/>
                <w:lang w:val="en-US" w:eastAsia="zh-CN"/>
              </w:rPr>
              <w:t>40001</w:t>
            </w:r>
          </w:p>
        </w:tc>
        <w:tc>
          <w:tcPr>
            <w:tcW w:w="1410" w:type="dxa"/>
            <w:vAlign w:val="center"/>
          </w:tcPr>
          <w:p>
            <w:pPr>
              <w:numPr>
                <w:ilvl w:val="0"/>
                <w:numId w:val="0"/>
              </w:numPr>
              <w:jc w:val="center"/>
              <w:rPr>
                <w:rFonts w:hint="default"/>
                <w:vertAlign w:val="baseline"/>
                <w:lang w:val="en-US" w:eastAsia="zh-CN"/>
              </w:rPr>
            </w:pPr>
            <w:r>
              <w:rPr>
                <w:rFonts w:hint="eastAsia"/>
                <w:vertAlign w:val="baseline"/>
                <w:lang w:val="en-US" w:eastAsia="zh-CN"/>
              </w:rPr>
              <w:t>2</w:t>
            </w:r>
          </w:p>
        </w:tc>
        <w:tc>
          <w:tcPr>
            <w:tcW w:w="1050" w:type="dxa"/>
            <w:vAlign w:val="center"/>
          </w:tcPr>
          <w:p>
            <w:pPr>
              <w:numPr>
                <w:ilvl w:val="0"/>
                <w:numId w:val="0"/>
              </w:numPr>
              <w:jc w:val="center"/>
              <w:rPr>
                <w:rFonts w:hint="default"/>
                <w:vertAlign w:val="baseline"/>
                <w:lang w:val="en-US" w:eastAsia="zh-CN"/>
              </w:rPr>
            </w:pPr>
            <w:r>
              <w:rPr>
                <w:rFonts w:hint="eastAsia"/>
                <w:vertAlign w:val="baseline"/>
                <w:lang w:val="en-US" w:eastAsia="zh-CN"/>
              </w:rPr>
              <w:t>0</w:t>
            </w:r>
          </w:p>
        </w:tc>
        <w:tc>
          <w:tcPr>
            <w:tcW w:w="2265" w:type="dxa"/>
            <w:vAlign w:val="center"/>
          </w:tcPr>
          <w:p>
            <w:pPr>
              <w:numPr>
                <w:ilvl w:val="0"/>
                <w:numId w:val="0"/>
              </w:numPr>
              <w:jc w:val="center"/>
              <w:rPr>
                <w:rFonts w:hint="default"/>
                <w:vertAlign w:val="baseline"/>
                <w:lang w:val="en-US" w:eastAsia="zh-CN"/>
              </w:rPr>
            </w:pPr>
            <w:r>
              <w:rPr>
                <w:rFonts w:hint="eastAsia"/>
                <w:vertAlign w:val="baseline"/>
                <w:lang w:val="en-US" w:eastAsia="zh-CN"/>
              </w:rPr>
              <w:t>0 - 2000PPM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dxa"/>
            <w:vMerge w:val="continue"/>
            <w:vAlign w:val="center"/>
          </w:tcPr>
          <w:p>
            <w:pPr>
              <w:numPr>
                <w:ilvl w:val="0"/>
                <w:numId w:val="0"/>
              </w:numPr>
              <w:jc w:val="center"/>
              <w:rPr>
                <w:rFonts w:hint="default"/>
                <w:vertAlign w:val="baseline"/>
                <w:lang w:val="en-US" w:eastAsia="zh-CN"/>
              </w:rPr>
            </w:pPr>
          </w:p>
        </w:tc>
        <w:tc>
          <w:tcPr>
            <w:tcW w:w="1155" w:type="dxa"/>
            <w:vAlign w:val="center"/>
          </w:tcPr>
          <w:p>
            <w:pPr>
              <w:numPr>
                <w:ilvl w:val="0"/>
                <w:numId w:val="0"/>
              </w:numPr>
              <w:jc w:val="center"/>
              <w:rPr>
                <w:rFonts w:hint="default"/>
                <w:vertAlign w:val="baseline"/>
                <w:lang w:val="en-US" w:eastAsia="zh-CN"/>
              </w:rPr>
            </w:pPr>
            <w:r>
              <w:rPr>
                <w:rFonts w:hint="eastAsia"/>
                <w:vertAlign w:val="baseline"/>
                <w:lang w:val="en-US" w:eastAsia="zh-CN"/>
              </w:rPr>
              <w:t>O2</w:t>
            </w:r>
          </w:p>
        </w:tc>
        <w:tc>
          <w:tcPr>
            <w:tcW w:w="1395" w:type="dxa"/>
            <w:vAlign w:val="center"/>
          </w:tcPr>
          <w:p>
            <w:pPr>
              <w:numPr>
                <w:ilvl w:val="0"/>
                <w:numId w:val="0"/>
              </w:numPr>
              <w:jc w:val="center"/>
              <w:rPr>
                <w:rFonts w:hint="default"/>
                <w:vertAlign w:val="baseline"/>
                <w:lang w:val="en-US" w:eastAsia="zh-CN"/>
              </w:rPr>
            </w:pPr>
            <w:r>
              <w:rPr>
                <w:rFonts w:hint="eastAsia"/>
                <w:vertAlign w:val="baseline"/>
                <w:lang w:val="en-US" w:eastAsia="zh-CN"/>
              </w:rPr>
              <w:t>40002</w:t>
            </w:r>
          </w:p>
        </w:tc>
        <w:tc>
          <w:tcPr>
            <w:tcW w:w="1410" w:type="dxa"/>
            <w:vAlign w:val="center"/>
          </w:tcPr>
          <w:p>
            <w:pPr>
              <w:numPr>
                <w:ilvl w:val="0"/>
                <w:numId w:val="0"/>
              </w:numPr>
              <w:jc w:val="center"/>
              <w:rPr>
                <w:rFonts w:hint="default"/>
                <w:vertAlign w:val="baseline"/>
                <w:lang w:val="en-US" w:eastAsia="zh-CN"/>
              </w:rPr>
            </w:pPr>
            <w:r>
              <w:rPr>
                <w:rFonts w:hint="eastAsia"/>
                <w:vertAlign w:val="baseline"/>
                <w:lang w:val="en-US" w:eastAsia="zh-CN"/>
              </w:rPr>
              <w:t>2</w:t>
            </w:r>
          </w:p>
        </w:tc>
        <w:tc>
          <w:tcPr>
            <w:tcW w:w="1050" w:type="dxa"/>
            <w:vAlign w:val="center"/>
          </w:tcPr>
          <w:p>
            <w:pPr>
              <w:numPr>
                <w:ilvl w:val="0"/>
                <w:numId w:val="0"/>
              </w:numPr>
              <w:jc w:val="center"/>
              <w:rPr>
                <w:rFonts w:hint="default"/>
                <w:vertAlign w:val="baseline"/>
                <w:lang w:val="en-US" w:eastAsia="zh-CN"/>
              </w:rPr>
            </w:pPr>
            <w:r>
              <w:rPr>
                <w:rFonts w:hint="eastAsia"/>
                <w:vertAlign w:val="baseline"/>
                <w:lang w:val="en-US" w:eastAsia="zh-CN"/>
              </w:rPr>
              <w:t>1</w:t>
            </w:r>
          </w:p>
        </w:tc>
        <w:tc>
          <w:tcPr>
            <w:tcW w:w="2265" w:type="dxa"/>
            <w:vAlign w:val="center"/>
          </w:tcPr>
          <w:p>
            <w:pPr>
              <w:numPr>
                <w:ilvl w:val="0"/>
                <w:numId w:val="0"/>
              </w:numPr>
              <w:jc w:val="center"/>
              <w:rPr>
                <w:rFonts w:hint="default"/>
                <w:vertAlign w:val="baseline"/>
                <w:lang w:val="en-US" w:eastAsia="zh-CN"/>
              </w:rPr>
            </w:pPr>
            <w:r>
              <w:rPr>
                <w:rFonts w:hint="eastAsia"/>
                <w:vertAlign w:val="baseline"/>
                <w:lang w:val="en-US" w:eastAsia="zh-CN"/>
              </w:rPr>
              <w:t>1-25%VOL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restart"/>
            <w:vAlign w:val="center"/>
          </w:tcPr>
          <w:p>
            <w:pPr>
              <w:numPr>
                <w:ilvl w:val="0"/>
                <w:numId w:val="0"/>
              </w:numPr>
              <w:jc w:val="center"/>
              <w:rPr>
                <w:rFonts w:hint="default"/>
                <w:vertAlign w:val="baseline"/>
                <w:lang w:val="en-US" w:eastAsia="zh-CN"/>
              </w:rPr>
            </w:pPr>
            <w:r>
              <w:rPr>
                <w:rFonts w:hint="eastAsia"/>
                <w:vertAlign w:val="baseline"/>
                <w:lang w:val="en-US" w:eastAsia="zh-CN"/>
              </w:rPr>
              <w:t>设备信息</w:t>
            </w:r>
          </w:p>
        </w:tc>
        <w:tc>
          <w:tcPr>
            <w:tcW w:w="1155" w:type="dxa"/>
            <w:vAlign w:val="center"/>
          </w:tcPr>
          <w:p>
            <w:pPr>
              <w:numPr>
                <w:ilvl w:val="0"/>
                <w:numId w:val="0"/>
              </w:numPr>
              <w:jc w:val="center"/>
              <w:rPr>
                <w:rFonts w:hint="default"/>
                <w:vertAlign w:val="baseline"/>
                <w:lang w:val="en-US" w:eastAsia="zh-CN"/>
              </w:rPr>
            </w:pPr>
            <w:r>
              <w:rPr>
                <w:rFonts w:hint="eastAsia"/>
                <w:vertAlign w:val="baseline"/>
                <w:lang w:val="en-US" w:eastAsia="zh-CN"/>
              </w:rPr>
              <w:t>设备地址</w:t>
            </w:r>
          </w:p>
        </w:tc>
        <w:tc>
          <w:tcPr>
            <w:tcW w:w="1395" w:type="dxa"/>
            <w:vAlign w:val="center"/>
          </w:tcPr>
          <w:p>
            <w:pPr>
              <w:numPr>
                <w:ilvl w:val="0"/>
                <w:numId w:val="0"/>
              </w:numPr>
              <w:jc w:val="center"/>
              <w:rPr>
                <w:rFonts w:hint="default"/>
                <w:vertAlign w:val="baseline"/>
                <w:lang w:val="en-US" w:eastAsia="zh-CN"/>
              </w:rPr>
            </w:pPr>
            <w:r>
              <w:rPr>
                <w:rFonts w:hint="eastAsia"/>
                <w:vertAlign w:val="baseline"/>
                <w:lang w:val="en-US" w:eastAsia="zh-CN"/>
              </w:rPr>
              <w:t>40016</w:t>
            </w:r>
          </w:p>
        </w:tc>
        <w:tc>
          <w:tcPr>
            <w:tcW w:w="1410" w:type="dxa"/>
            <w:vAlign w:val="center"/>
          </w:tcPr>
          <w:p>
            <w:pPr>
              <w:numPr>
                <w:ilvl w:val="0"/>
                <w:numId w:val="0"/>
              </w:numPr>
              <w:jc w:val="center"/>
              <w:rPr>
                <w:rFonts w:hint="default"/>
                <w:vertAlign w:val="baseline"/>
                <w:lang w:val="en-US" w:eastAsia="zh-CN"/>
              </w:rPr>
            </w:pPr>
            <w:r>
              <w:rPr>
                <w:rFonts w:hint="eastAsia"/>
                <w:vertAlign w:val="baseline"/>
                <w:lang w:val="en-US" w:eastAsia="zh-CN"/>
              </w:rPr>
              <w:t>2</w:t>
            </w:r>
          </w:p>
        </w:tc>
        <w:tc>
          <w:tcPr>
            <w:tcW w:w="1050" w:type="dxa"/>
            <w:vAlign w:val="center"/>
          </w:tcPr>
          <w:p>
            <w:pPr>
              <w:numPr>
                <w:ilvl w:val="0"/>
                <w:numId w:val="0"/>
              </w:numPr>
              <w:jc w:val="center"/>
              <w:rPr>
                <w:rFonts w:hint="default"/>
                <w:vertAlign w:val="baseline"/>
                <w:lang w:val="en-US" w:eastAsia="zh-CN"/>
              </w:rPr>
            </w:pPr>
            <w:r>
              <w:rPr>
                <w:rFonts w:hint="eastAsia"/>
                <w:vertAlign w:val="baseline"/>
                <w:lang w:val="en-US" w:eastAsia="zh-CN"/>
              </w:rPr>
              <w:t>0</w:t>
            </w:r>
          </w:p>
        </w:tc>
        <w:tc>
          <w:tcPr>
            <w:tcW w:w="2265" w:type="dxa"/>
            <w:vAlign w:val="center"/>
          </w:tcPr>
          <w:p>
            <w:pPr>
              <w:numPr>
                <w:ilvl w:val="0"/>
                <w:numId w:val="0"/>
              </w:numPr>
              <w:jc w:val="center"/>
              <w:rPr>
                <w:rFonts w:hint="default"/>
                <w:vertAlign w:val="baseline"/>
                <w:lang w:val="en-US" w:eastAsia="zh-CN"/>
              </w:rPr>
            </w:pPr>
            <w:r>
              <w:rPr>
                <w:rFonts w:hint="eastAsia"/>
                <w:vertAlign w:val="baseline"/>
                <w:lang w:val="en-US" w:eastAsia="zh-CN"/>
              </w:rPr>
              <w:t>默认0×01，可修改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vAlign w:val="center"/>
          </w:tcPr>
          <w:p>
            <w:pPr>
              <w:numPr>
                <w:ilvl w:val="0"/>
                <w:numId w:val="0"/>
              </w:numPr>
              <w:jc w:val="center"/>
              <w:rPr>
                <w:rFonts w:hint="default"/>
                <w:vertAlign w:val="baseline"/>
                <w:lang w:val="en-US" w:eastAsia="zh-CN"/>
              </w:rPr>
            </w:pPr>
          </w:p>
        </w:tc>
        <w:tc>
          <w:tcPr>
            <w:tcW w:w="1155" w:type="dxa"/>
            <w:vAlign w:val="center"/>
          </w:tcPr>
          <w:p>
            <w:pPr>
              <w:numPr>
                <w:ilvl w:val="0"/>
                <w:numId w:val="0"/>
              </w:numPr>
              <w:jc w:val="center"/>
              <w:rPr>
                <w:rFonts w:hint="default"/>
                <w:vertAlign w:val="baseline"/>
                <w:lang w:val="en-US" w:eastAsia="zh-CN"/>
              </w:rPr>
            </w:pPr>
            <w:r>
              <w:rPr>
                <w:rFonts w:hint="eastAsia"/>
                <w:vertAlign w:val="baseline"/>
                <w:lang w:val="en-US" w:eastAsia="zh-CN"/>
              </w:rPr>
              <w:t>波特率</w:t>
            </w:r>
          </w:p>
        </w:tc>
        <w:tc>
          <w:tcPr>
            <w:tcW w:w="1395" w:type="dxa"/>
            <w:vAlign w:val="center"/>
          </w:tcPr>
          <w:p>
            <w:pPr>
              <w:numPr>
                <w:ilvl w:val="0"/>
                <w:numId w:val="0"/>
              </w:numPr>
              <w:jc w:val="center"/>
              <w:rPr>
                <w:rFonts w:hint="default"/>
                <w:vertAlign w:val="baseline"/>
                <w:lang w:val="en-US" w:eastAsia="zh-CN"/>
              </w:rPr>
            </w:pPr>
            <w:r>
              <w:rPr>
                <w:rFonts w:hint="eastAsia"/>
                <w:vertAlign w:val="baseline"/>
                <w:lang w:val="en-US" w:eastAsia="zh-CN"/>
              </w:rPr>
              <w:t>40017</w:t>
            </w:r>
          </w:p>
        </w:tc>
        <w:tc>
          <w:tcPr>
            <w:tcW w:w="1410" w:type="dxa"/>
            <w:vAlign w:val="center"/>
          </w:tcPr>
          <w:p>
            <w:pPr>
              <w:numPr>
                <w:ilvl w:val="0"/>
                <w:numId w:val="0"/>
              </w:numPr>
              <w:jc w:val="center"/>
              <w:rPr>
                <w:rFonts w:hint="default"/>
                <w:vertAlign w:val="baseline"/>
                <w:lang w:val="en-US" w:eastAsia="zh-CN"/>
              </w:rPr>
            </w:pPr>
            <w:r>
              <w:rPr>
                <w:rFonts w:hint="eastAsia"/>
                <w:vertAlign w:val="baseline"/>
                <w:lang w:val="en-US" w:eastAsia="zh-CN"/>
              </w:rPr>
              <w:t>2</w:t>
            </w:r>
          </w:p>
        </w:tc>
        <w:tc>
          <w:tcPr>
            <w:tcW w:w="1050" w:type="dxa"/>
            <w:vAlign w:val="center"/>
          </w:tcPr>
          <w:p>
            <w:pPr>
              <w:numPr>
                <w:ilvl w:val="0"/>
                <w:numId w:val="0"/>
              </w:numPr>
              <w:jc w:val="center"/>
              <w:rPr>
                <w:rFonts w:hint="default"/>
                <w:vertAlign w:val="baseline"/>
                <w:lang w:val="en-US" w:eastAsia="zh-CN"/>
              </w:rPr>
            </w:pPr>
            <w:r>
              <w:rPr>
                <w:rFonts w:hint="eastAsia"/>
                <w:vertAlign w:val="baseline"/>
                <w:lang w:val="en-US" w:eastAsia="zh-CN"/>
              </w:rPr>
              <w:t>0</w:t>
            </w:r>
          </w:p>
        </w:tc>
        <w:tc>
          <w:tcPr>
            <w:tcW w:w="2265" w:type="dxa"/>
            <w:vAlign w:val="center"/>
          </w:tcPr>
          <w:p>
            <w:pPr>
              <w:numPr>
                <w:ilvl w:val="0"/>
                <w:numId w:val="0"/>
              </w:numPr>
              <w:jc w:val="center"/>
              <w:rPr>
                <w:rFonts w:hint="default"/>
                <w:vertAlign w:val="baseline"/>
                <w:lang w:val="en-US" w:eastAsia="zh-CN"/>
              </w:rPr>
            </w:pPr>
            <w:r>
              <w:rPr>
                <w:rFonts w:hint="eastAsia"/>
                <w:vertAlign w:val="baseline"/>
                <w:lang w:val="en-US" w:eastAsia="zh-CN"/>
              </w:rPr>
              <w:t>默认9600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vAlign w:val="center"/>
          </w:tcPr>
          <w:p>
            <w:pPr>
              <w:numPr>
                <w:ilvl w:val="0"/>
                <w:numId w:val="0"/>
              </w:numPr>
              <w:jc w:val="center"/>
              <w:rPr>
                <w:rFonts w:hint="default"/>
                <w:vertAlign w:val="baseline"/>
                <w:lang w:val="en-US" w:eastAsia="zh-CN"/>
              </w:rPr>
            </w:pPr>
          </w:p>
        </w:tc>
        <w:tc>
          <w:tcPr>
            <w:tcW w:w="1155" w:type="dxa"/>
            <w:vAlign w:val="center"/>
          </w:tcPr>
          <w:p>
            <w:pPr>
              <w:numPr>
                <w:ilvl w:val="0"/>
                <w:numId w:val="0"/>
              </w:numPr>
              <w:jc w:val="center"/>
              <w:rPr>
                <w:rFonts w:hint="default"/>
                <w:vertAlign w:val="baseline"/>
                <w:lang w:val="en-US" w:eastAsia="zh-CN"/>
              </w:rPr>
            </w:pPr>
            <w:r>
              <w:rPr>
                <w:rFonts w:hint="eastAsia"/>
                <w:vertAlign w:val="baseline"/>
                <w:lang w:val="en-US" w:eastAsia="zh-CN"/>
              </w:rPr>
              <w:t>--</w:t>
            </w:r>
          </w:p>
        </w:tc>
        <w:tc>
          <w:tcPr>
            <w:tcW w:w="1395" w:type="dxa"/>
            <w:vAlign w:val="center"/>
          </w:tcPr>
          <w:p>
            <w:pPr>
              <w:numPr>
                <w:ilvl w:val="0"/>
                <w:numId w:val="0"/>
              </w:numPr>
              <w:jc w:val="center"/>
              <w:rPr>
                <w:rFonts w:hint="default"/>
                <w:vertAlign w:val="baseline"/>
                <w:lang w:val="en-US" w:eastAsia="zh-CN"/>
              </w:rPr>
            </w:pPr>
            <w:r>
              <w:rPr>
                <w:rFonts w:hint="eastAsia"/>
                <w:vertAlign w:val="baseline"/>
                <w:lang w:val="en-US" w:eastAsia="zh-CN"/>
              </w:rPr>
              <w:t>40018</w:t>
            </w:r>
          </w:p>
        </w:tc>
        <w:tc>
          <w:tcPr>
            <w:tcW w:w="1410" w:type="dxa"/>
            <w:vAlign w:val="center"/>
          </w:tcPr>
          <w:p>
            <w:pPr>
              <w:numPr>
                <w:ilvl w:val="0"/>
                <w:numId w:val="0"/>
              </w:numPr>
              <w:jc w:val="center"/>
              <w:rPr>
                <w:rFonts w:hint="default"/>
                <w:vertAlign w:val="baseline"/>
                <w:lang w:val="en-US" w:eastAsia="zh-CN"/>
              </w:rPr>
            </w:pPr>
            <w:r>
              <w:rPr>
                <w:rFonts w:hint="eastAsia"/>
                <w:vertAlign w:val="baseline"/>
                <w:lang w:val="en-US" w:eastAsia="zh-CN"/>
              </w:rPr>
              <w:t>2</w:t>
            </w:r>
          </w:p>
        </w:tc>
        <w:tc>
          <w:tcPr>
            <w:tcW w:w="1050" w:type="dxa"/>
            <w:vAlign w:val="center"/>
          </w:tcPr>
          <w:p>
            <w:pPr>
              <w:numPr>
                <w:ilvl w:val="0"/>
                <w:numId w:val="0"/>
              </w:numPr>
              <w:jc w:val="center"/>
              <w:rPr>
                <w:rFonts w:hint="default"/>
                <w:vertAlign w:val="baseline"/>
                <w:lang w:val="en-US" w:eastAsia="zh-CN"/>
              </w:rPr>
            </w:pPr>
            <w:r>
              <w:rPr>
                <w:rFonts w:hint="eastAsia"/>
                <w:vertAlign w:val="baseline"/>
                <w:lang w:val="en-US" w:eastAsia="zh-CN"/>
              </w:rPr>
              <w:t>0</w:t>
            </w:r>
          </w:p>
        </w:tc>
        <w:tc>
          <w:tcPr>
            <w:tcW w:w="2265" w:type="dxa"/>
            <w:vAlign w:val="center"/>
          </w:tcPr>
          <w:p>
            <w:pPr>
              <w:numPr>
                <w:ilvl w:val="0"/>
                <w:numId w:val="0"/>
              </w:num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vAlign w:val="center"/>
          </w:tcPr>
          <w:p>
            <w:pPr>
              <w:numPr>
                <w:ilvl w:val="0"/>
                <w:numId w:val="0"/>
              </w:numPr>
              <w:jc w:val="center"/>
              <w:rPr>
                <w:rFonts w:hint="default"/>
                <w:vertAlign w:val="baseline"/>
                <w:lang w:val="en-US" w:eastAsia="zh-CN"/>
              </w:rPr>
            </w:pPr>
          </w:p>
        </w:tc>
        <w:tc>
          <w:tcPr>
            <w:tcW w:w="1155" w:type="dxa"/>
            <w:vAlign w:val="center"/>
          </w:tcPr>
          <w:p>
            <w:pPr>
              <w:numPr>
                <w:ilvl w:val="0"/>
                <w:numId w:val="0"/>
              </w:numPr>
              <w:jc w:val="center"/>
              <w:rPr>
                <w:rFonts w:hint="default"/>
                <w:vertAlign w:val="baseline"/>
                <w:lang w:val="en-US" w:eastAsia="zh-CN"/>
              </w:rPr>
            </w:pPr>
            <w:r>
              <w:rPr>
                <w:rFonts w:hint="eastAsia"/>
                <w:vertAlign w:val="baseline"/>
                <w:lang w:val="en-US" w:eastAsia="zh-CN"/>
              </w:rPr>
              <w:t>--</w:t>
            </w:r>
          </w:p>
        </w:tc>
        <w:tc>
          <w:tcPr>
            <w:tcW w:w="1395" w:type="dxa"/>
            <w:vAlign w:val="center"/>
          </w:tcPr>
          <w:p>
            <w:pPr>
              <w:numPr>
                <w:ilvl w:val="0"/>
                <w:numId w:val="0"/>
              </w:numPr>
              <w:jc w:val="center"/>
              <w:rPr>
                <w:rFonts w:hint="default"/>
                <w:vertAlign w:val="baseline"/>
                <w:lang w:val="en-US" w:eastAsia="zh-CN"/>
              </w:rPr>
            </w:pPr>
            <w:r>
              <w:rPr>
                <w:rFonts w:hint="eastAsia"/>
                <w:vertAlign w:val="baseline"/>
                <w:lang w:val="en-US" w:eastAsia="zh-CN"/>
              </w:rPr>
              <w:t>40019</w:t>
            </w:r>
          </w:p>
        </w:tc>
        <w:tc>
          <w:tcPr>
            <w:tcW w:w="1410" w:type="dxa"/>
            <w:vAlign w:val="center"/>
          </w:tcPr>
          <w:p>
            <w:pPr>
              <w:numPr>
                <w:ilvl w:val="0"/>
                <w:numId w:val="0"/>
              </w:numPr>
              <w:jc w:val="center"/>
              <w:rPr>
                <w:rFonts w:hint="default"/>
                <w:vertAlign w:val="baseline"/>
                <w:lang w:val="en-US" w:eastAsia="zh-CN"/>
              </w:rPr>
            </w:pPr>
            <w:r>
              <w:rPr>
                <w:rFonts w:hint="eastAsia"/>
                <w:vertAlign w:val="baseline"/>
                <w:lang w:val="en-US" w:eastAsia="zh-CN"/>
              </w:rPr>
              <w:t>2</w:t>
            </w:r>
          </w:p>
        </w:tc>
        <w:tc>
          <w:tcPr>
            <w:tcW w:w="1050" w:type="dxa"/>
            <w:vAlign w:val="center"/>
          </w:tcPr>
          <w:p>
            <w:pPr>
              <w:numPr>
                <w:ilvl w:val="0"/>
                <w:numId w:val="0"/>
              </w:numPr>
              <w:jc w:val="center"/>
              <w:rPr>
                <w:rFonts w:hint="default"/>
                <w:vertAlign w:val="baseline"/>
                <w:lang w:val="en-US" w:eastAsia="zh-CN"/>
              </w:rPr>
            </w:pPr>
            <w:r>
              <w:rPr>
                <w:rFonts w:hint="eastAsia"/>
                <w:vertAlign w:val="baseline"/>
                <w:lang w:val="en-US" w:eastAsia="zh-CN"/>
              </w:rPr>
              <w:t>0</w:t>
            </w:r>
          </w:p>
        </w:tc>
        <w:tc>
          <w:tcPr>
            <w:tcW w:w="2265" w:type="dxa"/>
            <w:vAlign w:val="center"/>
          </w:tcPr>
          <w:p>
            <w:pPr>
              <w:numPr>
                <w:ilvl w:val="0"/>
                <w:numId w:val="0"/>
              </w:numPr>
              <w:jc w:val="center"/>
              <w:rPr>
                <w:rFonts w:hint="default"/>
                <w:vertAlign w:val="baseline"/>
                <w:lang w:val="en-US" w:eastAsia="zh-CN"/>
              </w:rPr>
            </w:pPr>
          </w:p>
        </w:tc>
      </w:tr>
    </w:tbl>
    <w:p>
      <w:pPr>
        <w:numPr>
          <w:ilvl w:val="0"/>
          <w:numId w:val="0"/>
        </w:numPr>
        <w:rPr>
          <w:rFonts w:hint="eastAsia"/>
          <w:lang w:val="en-US" w:eastAsia="zh-CN"/>
        </w:rPr>
      </w:pPr>
    </w:p>
    <w:p>
      <w:pPr>
        <w:numPr>
          <w:ilvl w:val="0"/>
          <w:numId w:val="0"/>
        </w:numPr>
        <w:rPr>
          <w:rFonts w:hint="eastAsia"/>
          <w:b/>
          <w:bCs/>
          <w:lang w:val="en-US" w:eastAsia="zh-CN"/>
        </w:rPr>
      </w:pPr>
    </w:p>
    <w:p>
      <w:pPr>
        <w:numPr>
          <w:ilvl w:val="0"/>
          <w:numId w:val="0"/>
        </w:numPr>
        <w:rPr>
          <w:rFonts w:hint="eastAsia"/>
          <w:b/>
          <w:bCs/>
          <w:lang w:val="en-US" w:eastAsia="zh-CN"/>
        </w:rPr>
      </w:pPr>
      <w:r>
        <w:rPr>
          <w:rFonts w:hint="eastAsia"/>
          <w:b/>
          <w:bCs/>
          <w:lang w:val="en-US" w:eastAsia="zh-CN"/>
        </w:rPr>
        <w:t>通讯示例</w:t>
      </w:r>
    </w:p>
    <w:p>
      <w:pPr>
        <w:numPr>
          <w:ilvl w:val="0"/>
          <w:numId w:val="0"/>
        </w:numPr>
        <w:rPr>
          <w:rFonts w:hint="default"/>
          <w:lang w:val="en-US" w:eastAsia="zh-CN"/>
        </w:rPr>
      </w:pPr>
    </w:p>
    <w:p>
      <w:pPr>
        <w:numPr>
          <w:ilvl w:val="0"/>
          <w:numId w:val="0"/>
        </w:numPr>
        <w:rPr>
          <w:rFonts w:hint="default"/>
          <w:b/>
          <w:bCs/>
          <w:lang w:val="en-US" w:eastAsia="zh-CN"/>
        </w:rPr>
      </w:pPr>
      <w:r>
        <w:rPr>
          <w:rFonts w:hint="default"/>
          <w:b/>
          <w:bCs/>
          <w:lang w:val="en-US" w:eastAsia="zh-CN"/>
        </w:rPr>
        <w:t>（1）主机读取第一个寄存器数据</w:t>
      </w:r>
    </w:p>
    <w:p>
      <w:pPr>
        <w:numPr>
          <w:ilvl w:val="0"/>
          <w:numId w:val="0"/>
        </w:numPr>
        <w:rPr>
          <w:rFonts w:hint="default"/>
          <w:lang w:val="en-US" w:eastAsia="zh-CN"/>
        </w:rPr>
      </w:pPr>
      <w:r>
        <w:rPr>
          <w:rFonts w:hint="default"/>
          <w:lang w:val="en-US" w:eastAsia="zh-CN"/>
        </w:rPr>
        <w:t>主机发送命令：01 03 00 00 00 01 84 0A</w:t>
      </w:r>
    </w:p>
    <w:tbl>
      <w:tblPr>
        <w:tblStyle w:val="3"/>
        <w:tblW w:w="8220"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2130"/>
        <w:gridCol w:w="2131"/>
        <w:gridCol w:w="1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6" w:type="dxa"/>
            <w:vAlign w:val="center"/>
          </w:tcPr>
          <w:p>
            <w:pPr>
              <w:numPr>
                <w:ilvl w:val="0"/>
                <w:numId w:val="0"/>
              </w:numPr>
              <w:jc w:val="center"/>
              <w:rPr>
                <w:rFonts w:hint="default"/>
                <w:vertAlign w:val="baseline"/>
                <w:lang w:val="en-US" w:eastAsia="zh-CN"/>
              </w:rPr>
            </w:pPr>
            <w:r>
              <w:rPr>
                <w:rFonts w:hint="eastAsia"/>
                <w:vertAlign w:val="baseline"/>
                <w:lang w:val="en-US" w:eastAsia="zh-CN"/>
              </w:rPr>
              <w:t>帧头</w:t>
            </w:r>
          </w:p>
        </w:tc>
        <w:tc>
          <w:tcPr>
            <w:tcW w:w="2130" w:type="dxa"/>
            <w:vAlign w:val="center"/>
          </w:tcPr>
          <w:p>
            <w:pPr>
              <w:numPr>
                <w:ilvl w:val="0"/>
                <w:numId w:val="0"/>
              </w:numPr>
              <w:jc w:val="center"/>
              <w:rPr>
                <w:rFonts w:hint="default"/>
                <w:vertAlign w:val="baseline"/>
                <w:lang w:val="en-US" w:eastAsia="zh-CN"/>
              </w:rPr>
            </w:pPr>
            <w:r>
              <w:rPr>
                <w:rFonts w:hint="eastAsia"/>
                <w:vertAlign w:val="baseline"/>
                <w:lang w:val="en-US" w:eastAsia="zh-CN"/>
              </w:rPr>
              <w:t>起始地址</w:t>
            </w:r>
          </w:p>
        </w:tc>
        <w:tc>
          <w:tcPr>
            <w:tcW w:w="2131" w:type="dxa"/>
            <w:vAlign w:val="center"/>
          </w:tcPr>
          <w:p>
            <w:pPr>
              <w:numPr>
                <w:ilvl w:val="0"/>
                <w:numId w:val="0"/>
              </w:numPr>
              <w:jc w:val="center"/>
              <w:rPr>
                <w:rFonts w:hint="default"/>
                <w:vertAlign w:val="baseline"/>
                <w:lang w:val="en-US" w:eastAsia="zh-CN"/>
              </w:rPr>
            </w:pPr>
            <w:r>
              <w:rPr>
                <w:rFonts w:hint="eastAsia"/>
                <w:vertAlign w:val="baseline"/>
                <w:lang w:val="en-US" w:eastAsia="zh-CN"/>
              </w:rPr>
              <w:t>寄存器个数</w:t>
            </w:r>
          </w:p>
        </w:tc>
        <w:tc>
          <w:tcPr>
            <w:tcW w:w="1973" w:type="dxa"/>
            <w:vAlign w:val="center"/>
          </w:tcPr>
          <w:p>
            <w:pPr>
              <w:numPr>
                <w:ilvl w:val="0"/>
                <w:numId w:val="0"/>
              </w:numPr>
              <w:jc w:val="center"/>
              <w:rPr>
                <w:rFonts w:hint="default"/>
                <w:vertAlign w:val="baseline"/>
                <w:lang w:val="en-US" w:eastAsia="zh-CN"/>
              </w:rPr>
            </w:pPr>
            <w:r>
              <w:rPr>
                <w:rFonts w:hint="eastAsia"/>
                <w:vertAlign w:val="baseline"/>
                <w:lang w:val="en-US" w:eastAsia="zh-CN"/>
              </w:rPr>
              <w:t>CRC校验码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pPr>
              <w:numPr>
                <w:ilvl w:val="0"/>
                <w:numId w:val="0"/>
              </w:numPr>
              <w:jc w:val="center"/>
              <w:rPr>
                <w:rFonts w:hint="default"/>
                <w:vertAlign w:val="baseline"/>
                <w:lang w:val="en-US" w:eastAsia="zh-CN"/>
              </w:rPr>
            </w:pPr>
            <w:r>
              <w:rPr>
                <w:rFonts w:hint="default"/>
                <w:vertAlign w:val="baseline"/>
                <w:lang w:val="en-US" w:eastAsia="zh-CN"/>
              </w:rPr>
              <w:t>0x01 0x03</w:t>
            </w:r>
          </w:p>
        </w:tc>
        <w:tc>
          <w:tcPr>
            <w:tcW w:w="2130" w:type="dxa"/>
            <w:vAlign w:val="center"/>
          </w:tcPr>
          <w:p>
            <w:pPr>
              <w:numPr>
                <w:ilvl w:val="0"/>
                <w:numId w:val="0"/>
              </w:numPr>
              <w:jc w:val="center"/>
              <w:rPr>
                <w:rFonts w:hint="default"/>
                <w:vertAlign w:val="baseline"/>
                <w:lang w:val="en-US" w:eastAsia="zh-CN"/>
              </w:rPr>
            </w:pPr>
            <w:r>
              <w:rPr>
                <w:rFonts w:hint="default"/>
                <w:vertAlign w:val="baseline"/>
                <w:lang w:val="en-US" w:eastAsia="zh-CN"/>
              </w:rPr>
              <w:t>0x00  0x00</w:t>
            </w:r>
          </w:p>
        </w:tc>
        <w:tc>
          <w:tcPr>
            <w:tcW w:w="2131" w:type="dxa"/>
            <w:vAlign w:val="center"/>
          </w:tcPr>
          <w:p>
            <w:pPr>
              <w:numPr>
                <w:ilvl w:val="0"/>
                <w:numId w:val="0"/>
              </w:numPr>
              <w:jc w:val="center"/>
              <w:rPr>
                <w:rFonts w:hint="default"/>
                <w:vertAlign w:val="baseline"/>
                <w:lang w:val="en-US" w:eastAsia="zh-CN"/>
              </w:rPr>
            </w:pPr>
            <w:r>
              <w:rPr>
                <w:rFonts w:hint="default"/>
                <w:vertAlign w:val="baseline"/>
                <w:lang w:val="en-US" w:eastAsia="zh-CN"/>
              </w:rPr>
              <w:t>0x00  0x01</w:t>
            </w:r>
          </w:p>
        </w:tc>
        <w:tc>
          <w:tcPr>
            <w:tcW w:w="1973" w:type="dxa"/>
            <w:vAlign w:val="center"/>
          </w:tcPr>
          <w:p>
            <w:pPr>
              <w:numPr>
                <w:ilvl w:val="0"/>
                <w:numId w:val="0"/>
              </w:numPr>
              <w:jc w:val="center"/>
              <w:rPr>
                <w:rFonts w:hint="default"/>
                <w:vertAlign w:val="baseline"/>
                <w:lang w:val="en-US" w:eastAsia="zh-CN"/>
              </w:rPr>
            </w:pPr>
            <w:r>
              <w:rPr>
                <w:rFonts w:hint="default"/>
                <w:vertAlign w:val="baseline"/>
                <w:lang w:val="en-US" w:eastAsia="zh-CN"/>
              </w:rPr>
              <w:t>0x84  0x0A</w:t>
            </w:r>
          </w:p>
        </w:tc>
      </w:tr>
    </w:tbl>
    <w:p>
      <w:pPr>
        <w:numPr>
          <w:ilvl w:val="0"/>
          <w:numId w:val="0"/>
        </w:numPr>
        <w:rPr>
          <w:rFonts w:hint="default"/>
          <w:lang w:val="en-US" w:eastAsia="zh-CN"/>
        </w:rPr>
      </w:pPr>
      <w:r>
        <w:rPr>
          <w:rFonts w:hint="default"/>
          <w:lang w:val="en-US" w:eastAsia="zh-CN"/>
        </w:rPr>
        <w:t>0x01：设备地址（出厂默认为0x01）</w:t>
      </w:r>
    </w:p>
    <w:p>
      <w:pPr>
        <w:numPr>
          <w:ilvl w:val="0"/>
          <w:numId w:val="0"/>
        </w:numPr>
        <w:rPr>
          <w:rFonts w:hint="default"/>
          <w:lang w:val="en-US" w:eastAsia="zh-CN"/>
        </w:rPr>
      </w:pPr>
      <w:r>
        <w:rPr>
          <w:rFonts w:hint="default"/>
          <w:lang w:val="en-US" w:eastAsia="zh-CN"/>
        </w:rPr>
        <w:t>0x03：读取数据功能码</w:t>
      </w:r>
    </w:p>
    <w:p>
      <w:pPr>
        <w:numPr>
          <w:ilvl w:val="0"/>
          <w:numId w:val="0"/>
        </w:numPr>
        <w:rPr>
          <w:rFonts w:hint="default"/>
          <w:lang w:val="en-US" w:eastAsia="zh-CN"/>
        </w:rPr>
      </w:pPr>
      <w:r>
        <w:rPr>
          <w:rFonts w:hint="default"/>
          <w:lang w:val="en-US" w:eastAsia="zh-CN"/>
        </w:rPr>
        <w:t>0x00  0x00：从地址为0x00 0x00的寄存器（即40001寄存器）开始读取</w:t>
      </w:r>
    </w:p>
    <w:p>
      <w:pPr>
        <w:numPr>
          <w:ilvl w:val="0"/>
          <w:numId w:val="0"/>
        </w:numPr>
        <w:rPr>
          <w:rFonts w:hint="default"/>
          <w:lang w:val="en-US" w:eastAsia="zh-CN"/>
        </w:rPr>
      </w:pPr>
      <w:r>
        <w:rPr>
          <w:rFonts w:hint="default"/>
          <w:lang w:val="en-US" w:eastAsia="zh-CN"/>
        </w:rPr>
        <w:t>0x00  0x01：从上面指定的寄存器开始读取1个寄存器数据</w:t>
      </w:r>
    </w:p>
    <w:p>
      <w:pPr>
        <w:numPr>
          <w:ilvl w:val="0"/>
          <w:numId w:val="0"/>
        </w:numPr>
        <w:rPr>
          <w:rFonts w:hint="default"/>
          <w:lang w:val="en-US" w:eastAsia="zh-CN"/>
        </w:rPr>
      </w:pPr>
      <w:r>
        <w:rPr>
          <w:rFonts w:hint="default"/>
          <w:lang w:val="en-US" w:eastAsia="zh-CN"/>
        </w:rPr>
        <w:t>0x84  0x0A：CRC16校验码：0x0A84，传输过程高位在前低位在后</w:t>
      </w:r>
    </w:p>
    <w:p>
      <w:pPr>
        <w:numPr>
          <w:ilvl w:val="0"/>
          <w:numId w:val="0"/>
        </w:numPr>
        <w:rPr>
          <w:rFonts w:hint="default"/>
          <w:lang w:val="en-US" w:eastAsia="zh-CN"/>
        </w:rPr>
      </w:pPr>
      <w:r>
        <w:rPr>
          <w:rFonts w:hint="default"/>
          <w:lang w:val="en-US" w:eastAsia="zh-CN"/>
        </w:rPr>
        <w:t>从机应答：01 03 02 01 A0 B9 AC</w:t>
      </w:r>
    </w:p>
    <w:p>
      <w:pPr>
        <w:numPr>
          <w:ilvl w:val="0"/>
          <w:numId w:val="0"/>
        </w:numPr>
        <w:rPr>
          <w:rFonts w:hint="default"/>
          <w:lang w:val="en-US" w:eastAsia="zh-CN"/>
        </w:rPr>
      </w:pPr>
    </w:p>
    <w:tbl>
      <w:tblPr>
        <w:tblStyle w:val="3"/>
        <w:tblW w:w="8235"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2130"/>
        <w:gridCol w:w="2131"/>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pPr>
              <w:numPr>
                <w:ilvl w:val="0"/>
                <w:numId w:val="0"/>
              </w:numPr>
              <w:jc w:val="center"/>
              <w:rPr>
                <w:rFonts w:hint="default"/>
                <w:vertAlign w:val="baseline"/>
                <w:lang w:val="en-US" w:eastAsia="zh-CN"/>
              </w:rPr>
            </w:pPr>
            <w:r>
              <w:rPr>
                <w:rFonts w:hint="eastAsia"/>
                <w:vertAlign w:val="baseline"/>
                <w:lang w:val="en-US" w:eastAsia="zh-CN"/>
              </w:rPr>
              <w:t>帧头</w:t>
            </w:r>
          </w:p>
        </w:tc>
        <w:tc>
          <w:tcPr>
            <w:tcW w:w="2130" w:type="dxa"/>
            <w:vAlign w:val="center"/>
          </w:tcPr>
          <w:p>
            <w:pPr>
              <w:numPr>
                <w:ilvl w:val="0"/>
                <w:numId w:val="0"/>
              </w:numPr>
              <w:jc w:val="center"/>
              <w:rPr>
                <w:rFonts w:hint="default"/>
                <w:vertAlign w:val="baseline"/>
                <w:lang w:val="en-US" w:eastAsia="zh-CN"/>
              </w:rPr>
            </w:pPr>
            <w:r>
              <w:rPr>
                <w:rFonts w:hint="eastAsia"/>
                <w:vertAlign w:val="baseline"/>
                <w:lang w:val="en-US" w:eastAsia="zh-CN"/>
              </w:rPr>
              <w:t>数据长度</w:t>
            </w:r>
          </w:p>
        </w:tc>
        <w:tc>
          <w:tcPr>
            <w:tcW w:w="2131" w:type="dxa"/>
            <w:vAlign w:val="center"/>
          </w:tcPr>
          <w:p>
            <w:pPr>
              <w:numPr>
                <w:ilvl w:val="0"/>
                <w:numId w:val="0"/>
              </w:numPr>
              <w:jc w:val="center"/>
              <w:rPr>
                <w:rFonts w:hint="default"/>
                <w:vertAlign w:val="baseline"/>
                <w:lang w:val="en-US" w:eastAsia="zh-CN"/>
              </w:rPr>
            </w:pPr>
            <w:r>
              <w:rPr>
                <w:rFonts w:hint="eastAsia"/>
                <w:vertAlign w:val="baseline"/>
                <w:lang w:val="en-US" w:eastAsia="zh-CN"/>
              </w:rPr>
              <w:t>传感器数据</w:t>
            </w:r>
          </w:p>
        </w:tc>
        <w:tc>
          <w:tcPr>
            <w:tcW w:w="1958" w:type="dxa"/>
            <w:vAlign w:val="center"/>
          </w:tcPr>
          <w:p>
            <w:pPr>
              <w:numPr>
                <w:ilvl w:val="0"/>
                <w:numId w:val="0"/>
              </w:numPr>
              <w:jc w:val="center"/>
              <w:rPr>
                <w:rFonts w:hint="default"/>
                <w:vertAlign w:val="baseline"/>
                <w:lang w:val="en-US" w:eastAsia="zh-CN"/>
              </w:rPr>
            </w:pPr>
            <w:r>
              <w:rPr>
                <w:rFonts w:hint="eastAsia"/>
                <w:vertAlign w:val="baseline"/>
                <w:lang w:val="en-US" w:eastAsia="zh-CN"/>
              </w:rPr>
              <w:t>CRC校验码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pPr>
              <w:numPr>
                <w:ilvl w:val="0"/>
                <w:numId w:val="0"/>
              </w:numPr>
              <w:jc w:val="center"/>
              <w:rPr>
                <w:rFonts w:hint="default"/>
                <w:vertAlign w:val="baseline"/>
                <w:lang w:val="en-US" w:eastAsia="zh-CN"/>
              </w:rPr>
            </w:pPr>
            <w:r>
              <w:rPr>
                <w:rFonts w:hint="default"/>
                <w:vertAlign w:val="baseline"/>
                <w:lang w:val="en-US" w:eastAsia="zh-CN"/>
              </w:rPr>
              <w:t>0x01  0x03</w:t>
            </w:r>
          </w:p>
        </w:tc>
        <w:tc>
          <w:tcPr>
            <w:tcW w:w="2130" w:type="dxa"/>
            <w:vAlign w:val="center"/>
          </w:tcPr>
          <w:p>
            <w:pPr>
              <w:numPr>
                <w:ilvl w:val="0"/>
                <w:numId w:val="0"/>
              </w:numPr>
              <w:jc w:val="center"/>
              <w:rPr>
                <w:rFonts w:hint="default"/>
                <w:vertAlign w:val="baseline"/>
                <w:lang w:val="en-US" w:eastAsia="zh-CN"/>
              </w:rPr>
            </w:pPr>
            <w:r>
              <w:rPr>
                <w:rFonts w:hint="default"/>
                <w:vertAlign w:val="baseline"/>
                <w:lang w:val="en-US" w:eastAsia="zh-CN"/>
              </w:rPr>
              <w:t>0x02</w:t>
            </w:r>
          </w:p>
        </w:tc>
        <w:tc>
          <w:tcPr>
            <w:tcW w:w="2131" w:type="dxa"/>
            <w:vAlign w:val="center"/>
          </w:tcPr>
          <w:p>
            <w:pPr>
              <w:numPr>
                <w:ilvl w:val="0"/>
                <w:numId w:val="0"/>
              </w:numPr>
              <w:jc w:val="center"/>
              <w:rPr>
                <w:rFonts w:hint="default"/>
                <w:vertAlign w:val="baseline"/>
                <w:lang w:val="en-US" w:eastAsia="zh-CN"/>
              </w:rPr>
            </w:pPr>
            <w:r>
              <w:rPr>
                <w:rFonts w:hint="default"/>
                <w:vertAlign w:val="baseline"/>
                <w:lang w:val="en-US" w:eastAsia="zh-CN"/>
              </w:rPr>
              <w:t>0x01 0xA0</w:t>
            </w:r>
          </w:p>
        </w:tc>
        <w:tc>
          <w:tcPr>
            <w:tcW w:w="1958" w:type="dxa"/>
            <w:vAlign w:val="center"/>
          </w:tcPr>
          <w:p>
            <w:pPr>
              <w:numPr>
                <w:ilvl w:val="0"/>
                <w:numId w:val="0"/>
              </w:numPr>
              <w:jc w:val="center"/>
              <w:rPr>
                <w:rFonts w:hint="default"/>
                <w:vertAlign w:val="baseline"/>
                <w:lang w:val="en-US" w:eastAsia="zh-CN"/>
              </w:rPr>
            </w:pPr>
            <w:r>
              <w:rPr>
                <w:rFonts w:hint="default"/>
                <w:vertAlign w:val="baseline"/>
                <w:lang w:val="en-US" w:eastAsia="zh-CN"/>
              </w:rPr>
              <w:t>0xB9 0xAC</w:t>
            </w:r>
          </w:p>
        </w:tc>
      </w:tr>
    </w:tbl>
    <w:p>
      <w:pPr>
        <w:numPr>
          <w:ilvl w:val="0"/>
          <w:numId w:val="0"/>
        </w:numPr>
        <w:rPr>
          <w:rFonts w:hint="default"/>
          <w:lang w:val="en-US" w:eastAsia="zh-CN"/>
        </w:rPr>
      </w:pPr>
      <w:r>
        <w:rPr>
          <w:rFonts w:hint="default"/>
          <w:lang w:val="en-US" w:eastAsia="zh-CN"/>
        </w:rPr>
        <w:t>0x01：设备地址（出厂默认为0x01）</w:t>
      </w:r>
    </w:p>
    <w:p>
      <w:pPr>
        <w:numPr>
          <w:ilvl w:val="0"/>
          <w:numId w:val="0"/>
        </w:numPr>
        <w:rPr>
          <w:rFonts w:hint="default"/>
          <w:lang w:val="en-US" w:eastAsia="zh-CN"/>
        </w:rPr>
      </w:pPr>
      <w:r>
        <w:rPr>
          <w:rFonts w:hint="default"/>
          <w:lang w:val="en-US" w:eastAsia="zh-CN"/>
        </w:rPr>
        <w:t>0x03：读取数据功能码</w:t>
      </w:r>
    </w:p>
    <w:p>
      <w:pPr>
        <w:numPr>
          <w:ilvl w:val="0"/>
          <w:numId w:val="0"/>
        </w:numPr>
        <w:rPr>
          <w:rFonts w:hint="default"/>
          <w:lang w:val="en-US" w:eastAsia="zh-CN"/>
        </w:rPr>
      </w:pPr>
      <w:r>
        <w:rPr>
          <w:rFonts w:hint="default"/>
          <w:lang w:val="en-US" w:eastAsia="zh-CN"/>
        </w:rPr>
        <w:t>0x02：应答数据长度</w:t>
      </w:r>
    </w:p>
    <w:p>
      <w:pPr>
        <w:numPr>
          <w:ilvl w:val="0"/>
          <w:numId w:val="0"/>
        </w:numPr>
        <w:rPr>
          <w:rFonts w:hint="default"/>
          <w:lang w:val="en-US" w:eastAsia="zh-CN"/>
        </w:rPr>
      </w:pPr>
      <w:r>
        <w:rPr>
          <w:rFonts w:hint="default"/>
          <w:lang w:val="en-US" w:eastAsia="zh-CN"/>
        </w:rPr>
        <w:t>0x01  0xA0：0x01*256+0xA0=416，小数点个数为1（见数据寄存器表），</w:t>
      </w:r>
    </w:p>
    <w:p>
      <w:pPr>
        <w:numPr>
          <w:ilvl w:val="0"/>
          <w:numId w:val="0"/>
        </w:numPr>
        <w:rPr>
          <w:rFonts w:hint="default"/>
          <w:lang w:val="en-US" w:eastAsia="zh-CN"/>
        </w:rPr>
      </w:pPr>
      <w:r>
        <w:rPr>
          <w:rFonts w:hint="default"/>
          <w:lang w:val="en-US" w:eastAsia="zh-CN"/>
        </w:rPr>
        <w:t>实际温度值为41.6℃</w:t>
      </w:r>
    </w:p>
    <w:p>
      <w:pPr>
        <w:numPr>
          <w:ilvl w:val="0"/>
          <w:numId w:val="0"/>
        </w:numPr>
        <w:rPr>
          <w:rFonts w:hint="default"/>
          <w:lang w:val="en-US" w:eastAsia="zh-CN"/>
        </w:rPr>
      </w:pPr>
      <w:r>
        <w:rPr>
          <w:rFonts w:hint="default"/>
          <w:lang w:val="en-US" w:eastAsia="zh-CN"/>
        </w:rPr>
        <w:t>0xB9  0xAC：CRC16校验码：0xACB9，传输过程高位在前低位在后</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b/>
          <w:bCs/>
          <w:lang w:val="en-US" w:eastAsia="zh-CN"/>
        </w:rPr>
      </w:pPr>
    </w:p>
    <w:p>
      <w:pPr>
        <w:numPr>
          <w:ilvl w:val="0"/>
          <w:numId w:val="0"/>
        </w:numPr>
        <w:rPr>
          <w:rFonts w:hint="default"/>
          <w:b/>
          <w:bCs/>
          <w:lang w:val="en-US" w:eastAsia="zh-CN"/>
        </w:rPr>
      </w:pPr>
      <w:r>
        <w:rPr>
          <w:rFonts w:hint="default"/>
          <w:b/>
          <w:bCs/>
          <w:lang w:val="en-US" w:eastAsia="zh-CN"/>
        </w:rPr>
        <w:t>（2）修改设备地址</w:t>
      </w:r>
    </w:p>
    <w:p>
      <w:pPr>
        <w:numPr>
          <w:ilvl w:val="0"/>
          <w:numId w:val="0"/>
        </w:numPr>
        <w:rPr>
          <w:rFonts w:hint="default"/>
          <w:lang w:val="en-US" w:eastAsia="zh-CN"/>
        </w:rPr>
      </w:pPr>
      <w:r>
        <w:rPr>
          <w:rFonts w:hint="default"/>
          <w:lang w:val="en-US" w:eastAsia="zh-CN"/>
        </w:rPr>
        <w:t>把设备地址0x01修改为0x02</w:t>
      </w:r>
    </w:p>
    <w:p>
      <w:pPr>
        <w:numPr>
          <w:ilvl w:val="0"/>
          <w:numId w:val="0"/>
        </w:numPr>
        <w:rPr>
          <w:rFonts w:hint="default"/>
          <w:lang w:val="en-US" w:eastAsia="zh-CN"/>
        </w:rPr>
      </w:pPr>
      <w:r>
        <w:rPr>
          <w:rFonts w:hint="default"/>
          <w:lang w:val="en-US" w:eastAsia="zh-CN"/>
        </w:rPr>
        <w:t>主机发送命令：01 06 00 0F 00 02 38 08</w:t>
      </w:r>
    </w:p>
    <w:tbl>
      <w:tblPr>
        <w:tblStyle w:val="3"/>
        <w:tblW w:w="8235"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2130"/>
        <w:gridCol w:w="2131"/>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pPr>
              <w:numPr>
                <w:ilvl w:val="0"/>
                <w:numId w:val="0"/>
              </w:numPr>
              <w:jc w:val="center"/>
              <w:rPr>
                <w:rFonts w:hint="default"/>
                <w:vertAlign w:val="baseline"/>
                <w:lang w:val="en-US" w:eastAsia="zh-CN"/>
              </w:rPr>
            </w:pPr>
            <w:r>
              <w:rPr>
                <w:rFonts w:hint="eastAsia"/>
                <w:vertAlign w:val="baseline"/>
                <w:lang w:val="en-US" w:eastAsia="zh-CN"/>
              </w:rPr>
              <w:t>帧头</w:t>
            </w:r>
          </w:p>
        </w:tc>
        <w:tc>
          <w:tcPr>
            <w:tcW w:w="2130" w:type="dxa"/>
            <w:vAlign w:val="center"/>
          </w:tcPr>
          <w:p>
            <w:pPr>
              <w:numPr>
                <w:ilvl w:val="0"/>
                <w:numId w:val="0"/>
              </w:numPr>
              <w:jc w:val="center"/>
              <w:rPr>
                <w:rFonts w:hint="default"/>
                <w:vertAlign w:val="baseline"/>
                <w:lang w:val="en-US" w:eastAsia="zh-CN"/>
              </w:rPr>
            </w:pPr>
            <w:r>
              <w:rPr>
                <w:rFonts w:hint="eastAsia"/>
                <w:vertAlign w:val="baseline"/>
                <w:lang w:val="en-US" w:eastAsia="zh-CN"/>
              </w:rPr>
              <w:t>寄存器地址</w:t>
            </w:r>
          </w:p>
        </w:tc>
        <w:tc>
          <w:tcPr>
            <w:tcW w:w="2131" w:type="dxa"/>
            <w:vAlign w:val="center"/>
          </w:tcPr>
          <w:p>
            <w:pPr>
              <w:numPr>
                <w:ilvl w:val="0"/>
                <w:numId w:val="0"/>
              </w:numPr>
              <w:jc w:val="center"/>
              <w:rPr>
                <w:rFonts w:hint="default"/>
                <w:vertAlign w:val="baseline"/>
                <w:lang w:val="en-US" w:eastAsia="zh-CN"/>
              </w:rPr>
            </w:pPr>
            <w:r>
              <w:rPr>
                <w:rFonts w:hint="eastAsia"/>
                <w:vertAlign w:val="baseline"/>
                <w:lang w:val="en-US" w:eastAsia="zh-CN"/>
              </w:rPr>
              <w:t>写入数据</w:t>
            </w:r>
          </w:p>
        </w:tc>
        <w:tc>
          <w:tcPr>
            <w:tcW w:w="1958" w:type="dxa"/>
            <w:vAlign w:val="center"/>
          </w:tcPr>
          <w:p>
            <w:pPr>
              <w:numPr>
                <w:ilvl w:val="0"/>
                <w:numId w:val="0"/>
              </w:numPr>
              <w:jc w:val="center"/>
              <w:rPr>
                <w:rFonts w:hint="default"/>
                <w:vertAlign w:val="baseline"/>
                <w:lang w:val="en-US" w:eastAsia="zh-CN"/>
              </w:rPr>
            </w:pPr>
            <w:r>
              <w:rPr>
                <w:rFonts w:hint="eastAsia"/>
                <w:vertAlign w:val="baseline"/>
                <w:lang w:val="en-US" w:eastAsia="zh-CN"/>
              </w:rPr>
              <w:t>CRC校验码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pPr>
              <w:numPr>
                <w:ilvl w:val="0"/>
                <w:numId w:val="0"/>
              </w:numPr>
              <w:jc w:val="center"/>
              <w:rPr>
                <w:rFonts w:hint="default"/>
                <w:vertAlign w:val="baseline"/>
                <w:lang w:val="en-US" w:eastAsia="zh-CN"/>
              </w:rPr>
            </w:pPr>
            <w:r>
              <w:rPr>
                <w:rFonts w:hint="default"/>
                <w:vertAlign w:val="baseline"/>
                <w:lang w:val="en-US" w:eastAsia="zh-CN"/>
              </w:rPr>
              <w:t>0x01  0x06</w:t>
            </w:r>
          </w:p>
        </w:tc>
        <w:tc>
          <w:tcPr>
            <w:tcW w:w="2130" w:type="dxa"/>
            <w:vAlign w:val="center"/>
          </w:tcPr>
          <w:p>
            <w:pPr>
              <w:numPr>
                <w:ilvl w:val="0"/>
                <w:numId w:val="0"/>
              </w:numPr>
              <w:jc w:val="center"/>
              <w:rPr>
                <w:rFonts w:hint="default"/>
                <w:vertAlign w:val="baseline"/>
                <w:lang w:val="en-US" w:eastAsia="zh-CN"/>
              </w:rPr>
            </w:pPr>
            <w:r>
              <w:rPr>
                <w:rFonts w:hint="default"/>
                <w:vertAlign w:val="baseline"/>
                <w:lang w:val="en-US" w:eastAsia="zh-CN"/>
              </w:rPr>
              <w:t>0x00</w:t>
            </w:r>
            <w:r>
              <w:rPr>
                <w:rFonts w:hint="eastAsia"/>
                <w:vertAlign w:val="baseline"/>
                <w:lang w:val="en-US" w:eastAsia="zh-CN"/>
              </w:rPr>
              <w:t xml:space="preserve">  </w:t>
            </w:r>
            <w:r>
              <w:rPr>
                <w:rFonts w:hint="default"/>
                <w:vertAlign w:val="baseline"/>
                <w:lang w:val="en-US" w:eastAsia="zh-CN"/>
              </w:rPr>
              <w:t>0x0F</w:t>
            </w:r>
          </w:p>
        </w:tc>
        <w:tc>
          <w:tcPr>
            <w:tcW w:w="2131" w:type="dxa"/>
            <w:vAlign w:val="center"/>
          </w:tcPr>
          <w:p>
            <w:pPr>
              <w:numPr>
                <w:ilvl w:val="0"/>
                <w:numId w:val="0"/>
              </w:numPr>
              <w:jc w:val="center"/>
              <w:rPr>
                <w:rFonts w:hint="default"/>
                <w:vertAlign w:val="baseline"/>
                <w:lang w:val="en-US" w:eastAsia="zh-CN"/>
              </w:rPr>
            </w:pPr>
            <w:r>
              <w:rPr>
                <w:rFonts w:hint="default"/>
                <w:vertAlign w:val="baseline"/>
                <w:lang w:val="en-US" w:eastAsia="zh-CN"/>
              </w:rPr>
              <w:t>0x00  0x02</w:t>
            </w:r>
          </w:p>
        </w:tc>
        <w:tc>
          <w:tcPr>
            <w:tcW w:w="1958" w:type="dxa"/>
            <w:vAlign w:val="center"/>
          </w:tcPr>
          <w:p>
            <w:pPr>
              <w:numPr>
                <w:ilvl w:val="0"/>
                <w:numId w:val="0"/>
              </w:numPr>
              <w:jc w:val="center"/>
              <w:rPr>
                <w:rFonts w:hint="default"/>
                <w:vertAlign w:val="baseline"/>
                <w:lang w:val="en-US" w:eastAsia="zh-CN"/>
              </w:rPr>
            </w:pPr>
            <w:r>
              <w:rPr>
                <w:rFonts w:hint="default"/>
                <w:vertAlign w:val="baseline"/>
                <w:lang w:val="en-US" w:eastAsia="zh-CN"/>
              </w:rPr>
              <w:t>0x38  0x08</w:t>
            </w:r>
          </w:p>
        </w:tc>
      </w:tr>
    </w:tbl>
    <w:p>
      <w:pPr>
        <w:numPr>
          <w:ilvl w:val="0"/>
          <w:numId w:val="0"/>
        </w:numPr>
        <w:rPr>
          <w:rFonts w:hint="default"/>
          <w:lang w:val="en-US" w:eastAsia="zh-CN"/>
        </w:rPr>
      </w:pPr>
      <w:r>
        <w:rPr>
          <w:rFonts w:hint="default"/>
          <w:lang w:val="en-US" w:eastAsia="zh-CN"/>
        </w:rPr>
        <w:t>0x01：设备地址（出厂默认为0x01）</w:t>
      </w:r>
    </w:p>
    <w:p>
      <w:pPr>
        <w:numPr>
          <w:ilvl w:val="0"/>
          <w:numId w:val="0"/>
        </w:numPr>
        <w:rPr>
          <w:rFonts w:hint="default"/>
          <w:lang w:val="en-US" w:eastAsia="zh-CN"/>
        </w:rPr>
      </w:pPr>
      <w:r>
        <w:rPr>
          <w:rFonts w:hint="default"/>
          <w:lang w:val="en-US" w:eastAsia="zh-CN"/>
        </w:rPr>
        <w:t>0x06：修改寄存器功能码</w:t>
      </w:r>
    </w:p>
    <w:p>
      <w:pPr>
        <w:numPr>
          <w:ilvl w:val="0"/>
          <w:numId w:val="0"/>
        </w:numPr>
        <w:rPr>
          <w:rFonts w:hint="default"/>
          <w:lang w:val="en-US" w:eastAsia="zh-CN"/>
        </w:rPr>
      </w:pPr>
      <w:r>
        <w:rPr>
          <w:rFonts w:hint="default"/>
          <w:lang w:val="en-US" w:eastAsia="zh-CN"/>
        </w:rPr>
        <w:t>0x00  0x0F：需要修改的寄存器地址</w:t>
      </w:r>
    </w:p>
    <w:p>
      <w:pPr>
        <w:numPr>
          <w:ilvl w:val="0"/>
          <w:numId w:val="0"/>
        </w:numPr>
        <w:rPr>
          <w:rFonts w:hint="default"/>
          <w:lang w:val="en-US" w:eastAsia="zh-CN"/>
        </w:rPr>
      </w:pPr>
      <w:r>
        <w:rPr>
          <w:rFonts w:hint="default"/>
          <w:lang w:val="en-US" w:eastAsia="zh-CN"/>
        </w:rPr>
        <w:t>0x00  0x02：写入的数据为0x0002</w:t>
      </w:r>
    </w:p>
    <w:p>
      <w:pPr>
        <w:numPr>
          <w:ilvl w:val="0"/>
          <w:numId w:val="0"/>
        </w:numPr>
        <w:rPr>
          <w:rFonts w:hint="default"/>
          <w:lang w:val="en-US" w:eastAsia="zh-CN"/>
        </w:rPr>
      </w:pPr>
      <w:r>
        <w:rPr>
          <w:rFonts w:hint="default"/>
          <w:lang w:val="en-US" w:eastAsia="zh-CN"/>
        </w:rPr>
        <w:t>0x38  0x08：CRC16校验码</w:t>
      </w:r>
    </w:p>
    <w:p>
      <w:pPr>
        <w:numPr>
          <w:ilvl w:val="0"/>
          <w:numId w:val="0"/>
        </w:numPr>
        <w:rPr>
          <w:rFonts w:hint="default"/>
          <w:lang w:val="en-US" w:eastAsia="zh-CN"/>
        </w:rPr>
      </w:pPr>
      <w:r>
        <w:rPr>
          <w:rFonts w:hint="default"/>
          <w:lang w:val="en-US" w:eastAsia="zh-CN"/>
        </w:rPr>
        <w:t>从机应答：01 06</w:t>
      </w:r>
      <w:r>
        <w:rPr>
          <w:rFonts w:hint="default"/>
          <w:lang w:val="en-US" w:eastAsia="zh-CN"/>
        </w:rPr>
        <w:tab/>
      </w:r>
      <w:r>
        <w:rPr>
          <w:rFonts w:hint="default"/>
          <w:lang w:val="en-US" w:eastAsia="zh-CN"/>
        </w:rPr>
        <w:t>00 0F 00 02 38 08</w:t>
      </w:r>
    </w:p>
    <w:p>
      <w:pPr>
        <w:numPr>
          <w:ilvl w:val="0"/>
          <w:numId w:val="0"/>
        </w:numPr>
        <w:rPr>
          <w:rFonts w:hint="default"/>
          <w:lang w:val="en-US" w:eastAsia="zh-CN"/>
        </w:rPr>
      </w:pPr>
    </w:p>
    <w:tbl>
      <w:tblPr>
        <w:tblStyle w:val="3"/>
        <w:tblW w:w="8250"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2130"/>
        <w:gridCol w:w="2131"/>
        <w:gridCol w:w="1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pPr>
              <w:numPr>
                <w:ilvl w:val="0"/>
                <w:numId w:val="0"/>
              </w:numPr>
              <w:jc w:val="center"/>
              <w:rPr>
                <w:rFonts w:hint="default"/>
                <w:vertAlign w:val="baseline"/>
                <w:lang w:val="en-US" w:eastAsia="zh-CN"/>
              </w:rPr>
            </w:pPr>
            <w:r>
              <w:rPr>
                <w:rFonts w:hint="eastAsia"/>
                <w:vertAlign w:val="baseline"/>
                <w:lang w:val="en-US" w:eastAsia="zh-CN"/>
              </w:rPr>
              <w:t>帧头</w:t>
            </w:r>
          </w:p>
        </w:tc>
        <w:tc>
          <w:tcPr>
            <w:tcW w:w="2130" w:type="dxa"/>
            <w:vAlign w:val="center"/>
          </w:tcPr>
          <w:p>
            <w:pPr>
              <w:numPr>
                <w:ilvl w:val="0"/>
                <w:numId w:val="0"/>
              </w:numPr>
              <w:jc w:val="center"/>
              <w:rPr>
                <w:rFonts w:hint="default"/>
                <w:vertAlign w:val="baseline"/>
                <w:lang w:val="en-US" w:eastAsia="zh-CN"/>
              </w:rPr>
            </w:pPr>
            <w:r>
              <w:rPr>
                <w:rFonts w:hint="eastAsia"/>
                <w:vertAlign w:val="baseline"/>
                <w:lang w:val="en-US" w:eastAsia="zh-CN"/>
              </w:rPr>
              <w:t>寄存器地址</w:t>
            </w:r>
          </w:p>
        </w:tc>
        <w:tc>
          <w:tcPr>
            <w:tcW w:w="2131" w:type="dxa"/>
            <w:vAlign w:val="center"/>
          </w:tcPr>
          <w:p>
            <w:pPr>
              <w:numPr>
                <w:ilvl w:val="0"/>
                <w:numId w:val="0"/>
              </w:numPr>
              <w:jc w:val="center"/>
              <w:rPr>
                <w:rFonts w:hint="default"/>
                <w:vertAlign w:val="baseline"/>
                <w:lang w:val="en-US" w:eastAsia="zh-CN"/>
              </w:rPr>
            </w:pPr>
            <w:r>
              <w:rPr>
                <w:rFonts w:hint="eastAsia"/>
                <w:vertAlign w:val="baseline"/>
                <w:lang w:val="en-US" w:eastAsia="zh-CN"/>
              </w:rPr>
              <w:t>写入数据</w:t>
            </w:r>
          </w:p>
        </w:tc>
        <w:tc>
          <w:tcPr>
            <w:tcW w:w="1973" w:type="dxa"/>
            <w:vAlign w:val="center"/>
          </w:tcPr>
          <w:p>
            <w:pPr>
              <w:numPr>
                <w:ilvl w:val="0"/>
                <w:numId w:val="0"/>
              </w:numPr>
              <w:jc w:val="center"/>
              <w:rPr>
                <w:rFonts w:hint="default"/>
                <w:vertAlign w:val="baseline"/>
                <w:lang w:val="en-US" w:eastAsia="zh-CN"/>
              </w:rPr>
            </w:pPr>
            <w:r>
              <w:rPr>
                <w:rFonts w:hint="eastAsia"/>
                <w:vertAlign w:val="baseline"/>
                <w:lang w:val="en-US" w:eastAsia="zh-CN"/>
              </w:rPr>
              <w:t>CRC校验码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vAlign w:val="center"/>
          </w:tcPr>
          <w:p>
            <w:pPr>
              <w:numPr>
                <w:ilvl w:val="0"/>
                <w:numId w:val="0"/>
              </w:numPr>
              <w:jc w:val="center"/>
              <w:rPr>
                <w:rFonts w:hint="default"/>
                <w:vertAlign w:val="baseline"/>
                <w:lang w:val="en-US" w:eastAsia="zh-CN"/>
              </w:rPr>
            </w:pPr>
            <w:r>
              <w:rPr>
                <w:rFonts w:hint="default"/>
                <w:vertAlign w:val="baseline"/>
                <w:lang w:val="en-US" w:eastAsia="zh-CN"/>
              </w:rPr>
              <w:t>0x01  0x06</w:t>
            </w:r>
          </w:p>
        </w:tc>
        <w:tc>
          <w:tcPr>
            <w:tcW w:w="2130" w:type="dxa"/>
            <w:vAlign w:val="center"/>
          </w:tcPr>
          <w:p>
            <w:pPr>
              <w:numPr>
                <w:ilvl w:val="0"/>
                <w:numId w:val="0"/>
              </w:numPr>
              <w:jc w:val="center"/>
              <w:rPr>
                <w:rFonts w:hint="default"/>
                <w:vertAlign w:val="baseline"/>
                <w:lang w:val="en-US" w:eastAsia="zh-CN"/>
              </w:rPr>
            </w:pPr>
            <w:r>
              <w:rPr>
                <w:rFonts w:hint="default"/>
                <w:vertAlign w:val="baseline"/>
                <w:lang w:val="en-US" w:eastAsia="zh-CN"/>
              </w:rPr>
              <w:t>0x00  0x0F</w:t>
            </w:r>
          </w:p>
        </w:tc>
        <w:tc>
          <w:tcPr>
            <w:tcW w:w="2131" w:type="dxa"/>
            <w:vAlign w:val="center"/>
          </w:tcPr>
          <w:p>
            <w:pPr>
              <w:numPr>
                <w:ilvl w:val="0"/>
                <w:numId w:val="0"/>
              </w:numPr>
              <w:jc w:val="center"/>
              <w:rPr>
                <w:rFonts w:hint="default"/>
                <w:vertAlign w:val="baseline"/>
                <w:lang w:val="en-US" w:eastAsia="zh-CN"/>
              </w:rPr>
            </w:pPr>
            <w:r>
              <w:rPr>
                <w:rFonts w:hint="default"/>
                <w:vertAlign w:val="baseline"/>
                <w:lang w:val="en-US" w:eastAsia="zh-CN"/>
              </w:rPr>
              <w:t>0x00  0x02</w:t>
            </w:r>
          </w:p>
        </w:tc>
        <w:tc>
          <w:tcPr>
            <w:tcW w:w="1973" w:type="dxa"/>
            <w:vAlign w:val="center"/>
          </w:tcPr>
          <w:p>
            <w:pPr>
              <w:numPr>
                <w:ilvl w:val="0"/>
                <w:numId w:val="0"/>
              </w:numPr>
              <w:jc w:val="center"/>
              <w:rPr>
                <w:rFonts w:hint="default"/>
                <w:vertAlign w:val="baseline"/>
                <w:lang w:val="en-US" w:eastAsia="zh-CN"/>
              </w:rPr>
            </w:pPr>
            <w:r>
              <w:rPr>
                <w:rFonts w:hint="default"/>
                <w:vertAlign w:val="baseline"/>
                <w:lang w:val="en-US" w:eastAsia="zh-CN"/>
              </w:rPr>
              <w:t>0x38  0x08</w:t>
            </w:r>
          </w:p>
        </w:tc>
      </w:tr>
    </w:tbl>
    <w:p>
      <w:pPr>
        <w:numPr>
          <w:ilvl w:val="0"/>
          <w:numId w:val="0"/>
        </w:numPr>
        <w:rPr>
          <w:rFonts w:hint="default"/>
          <w:lang w:val="en-US" w:eastAsia="zh-CN"/>
        </w:rPr>
      </w:pPr>
      <w:r>
        <w:rPr>
          <w:rFonts w:hint="default"/>
          <w:lang w:val="en-US" w:eastAsia="zh-CN"/>
        </w:rPr>
        <w:t>0x01：设备地址</w:t>
      </w:r>
    </w:p>
    <w:p>
      <w:pPr>
        <w:numPr>
          <w:ilvl w:val="0"/>
          <w:numId w:val="0"/>
        </w:numPr>
        <w:rPr>
          <w:rFonts w:hint="default"/>
          <w:lang w:val="en-US" w:eastAsia="zh-CN"/>
        </w:rPr>
      </w:pPr>
      <w:r>
        <w:rPr>
          <w:rFonts w:hint="default"/>
          <w:lang w:val="en-US" w:eastAsia="zh-CN"/>
        </w:rPr>
        <w:t>0x06：修改寄存器功能码</w:t>
      </w:r>
    </w:p>
    <w:p>
      <w:pPr>
        <w:numPr>
          <w:ilvl w:val="0"/>
          <w:numId w:val="0"/>
        </w:numPr>
        <w:rPr>
          <w:rFonts w:hint="default"/>
          <w:lang w:val="en-US" w:eastAsia="zh-CN"/>
        </w:rPr>
      </w:pPr>
      <w:r>
        <w:rPr>
          <w:rFonts w:hint="default"/>
          <w:lang w:val="en-US" w:eastAsia="zh-CN"/>
        </w:rPr>
        <w:t>0x00  0x0F：需要修改的寄存器地址</w:t>
      </w:r>
    </w:p>
    <w:p>
      <w:pPr>
        <w:numPr>
          <w:ilvl w:val="0"/>
          <w:numId w:val="0"/>
        </w:numPr>
        <w:rPr>
          <w:rFonts w:hint="default"/>
          <w:lang w:val="en-US" w:eastAsia="zh-CN"/>
        </w:rPr>
      </w:pPr>
      <w:r>
        <w:rPr>
          <w:rFonts w:hint="default"/>
          <w:lang w:val="en-US" w:eastAsia="zh-CN"/>
        </w:rPr>
        <w:t>0x00  0x02：写入的数据为0x0002</w:t>
      </w:r>
    </w:p>
    <w:p>
      <w:pPr>
        <w:numPr>
          <w:ilvl w:val="0"/>
          <w:numId w:val="0"/>
        </w:numPr>
        <w:rPr>
          <w:rFonts w:hint="default"/>
          <w:lang w:val="en-US" w:eastAsia="zh-CN"/>
        </w:rPr>
      </w:pPr>
      <w:r>
        <w:rPr>
          <w:rFonts w:hint="default"/>
          <w:lang w:val="en-US" w:eastAsia="zh-CN"/>
        </w:rPr>
        <w:t>0x38  0x08：CRC16校验码</w:t>
      </w:r>
    </w:p>
    <w:p>
      <w:pPr>
        <w:numPr>
          <w:ilvl w:val="0"/>
          <w:numId w:val="0"/>
        </w:numPr>
        <w:rPr>
          <w:rFonts w:hint="default"/>
          <w:lang w:val="en-US" w:eastAsia="zh-CN"/>
        </w:rPr>
      </w:pPr>
      <w:r>
        <w:rPr>
          <w:rFonts w:hint="default"/>
          <w:lang w:val="en-US" w:eastAsia="zh-CN"/>
        </w:rPr>
        <w:t>(注意：之后的通讯指令需用新的设备地址)</w:t>
      </w:r>
    </w:p>
    <w:p>
      <w:pPr>
        <w:numPr>
          <w:ilvl w:val="0"/>
          <w:numId w:val="0"/>
        </w:numPr>
        <w:rPr>
          <w:rFonts w:hint="default"/>
          <w:lang w:val="en-US" w:eastAsia="zh-CN"/>
        </w:rPr>
      </w:pPr>
    </w:p>
    <w:p>
      <w:pPr>
        <w:numPr>
          <w:ilvl w:val="0"/>
          <w:numId w:val="0"/>
        </w:numPr>
        <w:rPr>
          <w:rFonts w:hint="default"/>
          <w:lang w:val="en-US" w:eastAsia="zh-CN"/>
        </w:rPr>
      </w:pPr>
      <w:r>
        <w:rPr>
          <w:rFonts w:hint="default"/>
          <w:lang w:val="en-US" w:eastAsia="zh-CN"/>
        </w:rPr>
        <w:t>（3）查询设备地址</w:t>
      </w:r>
    </w:p>
    <w:p>
      <w:pPr>
        <w:numPr>
          <w:ilvl w:val="0"/>
          <w:numId w:val="0"/>
        </w:numPr>
        <w:rPr>
          <w:rFonts w:hint="default"/>
          <w:lang w:val="en-US" w:eastAsia="zh-CN"/>
        </w:rPr>
      </w:pPr>
      <w:r>
        <w:rPr>
          <w:rFonts w:hint="default"/>
          <w:lang w:val="en-US" w:eastAsia="zh-CN"/>
        </w:rPr>
        <w:t>主机发送命令：00 03 00 00 00 01 85 DB</w:t>
      </w:r>
    </w:p>
    <w:tbl>
      <w:tblPr>
        <w:tblStyle w:val="3"/>
        <w:tblW w:w="8280"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2130"/>
        <w:gridCol w:w="2131"/>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Align w:val="center"/>
          </w:tcPr>
          <w:p>
            <w:pPr>
              <w:numPr>
                <w:ilvl w:val="0"/>
                <w:numId w:val="0"/>
              </w:numPr>
              <w:jc w:val="center"/>
              <w:rPr>
                <w:rFonts w:hint="default"/>
                <w:vertAlign w:val="baseline"/>
                <w:lang w:val="en-US" w:eastAsia="zh-CN"/>
              </w:rPr>
            </w:pPr>
            <w:r>
              <w:rPr>
                <w:rFonts w:hint="eastAsia"/>
                <w:vertAlign w:val="baseline"/>
                <w:lang w:val="en-US" w:eastAsia="zh-CN"/>
              </w:rPr>
              <w:t>帧头</w:t>
            </w:r>
          </w:p>
        </w:tc>
        <w:tc>
          <w:tcPr>
            <w:tcW w:w="2130" w:type="dxa"/>
            <w:vAlign w:val="center"/>
          </w:tcPr>
          <w:p>
            <w:pPr>
              <w:numPr>
                <w:ilvl w:val="0"/>
                <w:numId w:val="0"/>
              </w:numPr>
              <w:jc w:val="center"/>
              <w:rPr>
                <w:rFonts w:hint="default"/>
                <w:vertAlign w:val="baseline"/>
                <w:lang w:val="en-US" w:eastAsia="zh-CN"/>
              </w:rPr>
            </w:pPr>
            <w:r>
              <w:rPr>
                <w:rFonts w:hint="eastAsia"/>
                <w:vertAlign w:val="baseline"/>
                <w:lang w:val="en-US" w:eastAsia="zh-CN"/>
              </w:rPr>
              <w:t>寄存器地址</w:t>
            </w:r>
          </w:p>
        </w:tc>
        <w:tc>
          <w:tcPr>
            <w:tcW w:w="2131" w:type="dxa"/>
            <w:vAlign w:val="center"/>
          </w:tcPr>
          <w:p>
            <w:pPr>
              <w:numPr>
                <w:ilvl w:val="0"/>
                <w:numId w:val="0"/>
              </w:numPr>
              <w:jc w:val="center"/>
              <w:rPr>
                <w:rFonts w:hint="default"/>
                <w:vertAlign w:val="baseline"/>
                <w:lang w:val="en-US" w:eastAsia="zh-CN"/>
              </w:rPr>
            </w:pPr>
            <w:r>
              <w:rPr>
                <w:rFonts w:hint="eastAsia"/>
                <w:vertAlign w:val="baseline"/>
                <w:lang w:val="en-US" w:eastAsia="zh-CN"/>
              </w:rPr>
              <w:t>写入数据</w:t>
            </w:r>
          </w:p>
        </w:tc>
        <w:tc>
          <w:tcPr>
            <w:tcW w:w="1988" w:type="dxa"/>
            <w:vAlign w:val="center"/>
          </w:tcPr>
          <w:p>
            <w:pPr>
              <w:numPr>
                <w:ilvl w:val="0"/>
                <w:numId w:val="0"/>
              </w:numPr>
              <w:jc w:val="center"/>
              <w:rPr>
                <w:rFonts w:hint="default"/>
                <w:vertAlign w:val="baseline"/>
                <w:lang w:val="en-US" w:eastAsia="zh-CN"/>
              </w:rPr>
            </w:pPr>
            <w:r>
              <w:rPr>
                <w:rFonts w:hint="eastAsia"/>
                <w:vertAlign w:val="baseline"/>
                <w:lang w:val="en-US" w:eastAsia="zh-CN"/>
              </w:rPr>
              <w:t>CRC校验码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Align w:val="center"/>
          </w:tcPr>
          <w:p>
            <w:pPr>
              <w:numPr>
                <w:ilvl w:val="0"/>
                <w:numId w:val="0"/>
              </w:numPr>
              <w:jc w:val="center"/>
              <w:rPr>
                <w:rFonts w:hint="default"/>
                <w:vertAlign w:val="baseline"/>
                <w:lang w:val="en-US" w:eastAsia="zh-CN"/>
              </w:rPr>
            </w:pPr>
            <w:r>
              <w:rPr>
                <w:rFonts w:hint="default"/>
                <w:vertAlign w:val="baseline"/>
                <w:lang w:val="en-US" w:eastAsia="zh-CN"/>
              </w:rPr>
              <w:t>0x01  0x03</w:t>
            </w:r>
          </w:p>
        </w:tc>
        <w:tc>
          <w:tcPr>
            <w:tcW w:w="2130" w:type="dxa"/>
            <w:vAlign w:val="center"/>
          </w:tcPr>
          <w:p>
            <w:pPr>
              <w:numPr>
                <w:ilvl w:val="0"/>
                <w:numId w:val="0"/>
              </w:numPr>
              <w:jc w:val="center"/>
              <w:rPr>
                <w:rFonts w:hint="default"/>
                <w:vertAlign w:val="baseline"/>
                <w:lang w:val="en-US" w:eastAsia="zh-CN"/>
              </w:rPr>
            </w:pPr>
            <w:r>
              <w:rPr>
                <w:rFonts w:hint="default"/>
                <w:vertAlign w:val="baseline"/>
                <w:lang w:val="en-US" w:eastAsia="zh-CN"/>
              </w:rPr>
              <w:t>0x00  0x00</w:t>
            </w:r>
          </w:p>
        </w:tc>
        <w:tc>
          <w:tcPr>
            <w:tcW w:w="2131" w:type="dxa"/>
            <w:vAlign w:val="center"/>
          </w:tcPr>
          <w:p>
            <w:pPr>
              <w:numPr>
                <w:ilvl w:val="0"/>
                <w:numId w:val="0"/>
              </w:numPr>
              <w:jc w:val="center"/>
              <w:rPr>
                <w:rFonts w:hint="default"/>
                <w:vertAlign w:val="baseline"/>
                <w:lang w:val="en-US" w:eastAsia="zh-CN"/>
              </w:rPr>
            </w:pPr>
            <w:r>
              <w:rPr>
                <w:rFonts w:hint="default"/>
                <w:vertAlign w:val="baseline"/>
                <w:lang w:val="en-US" w:eastAsia="zh-CN"/>
              </w:rPr>
              <w:t>0x00  0x01</w:t>
            </w:r>
          </w:p>
        </w:tc>
        <w:tc>
          <w:tcPr>
            <w:tcW w:w="1988" w:type="dxa"/>
            <w:vAlign w:val="center"/>
          </w:tcPr>
          <w:p>
            <w:pPr>
              <w:numPr>
                <w:ilvl w:val="0"/>
                <w:numId w:val="0"/>
              </w:numPr>
              <w:jc w:val="center"/>
              <w:rPr>
                <w:rFonts w:hint="default"/>
                <w:vertAlign w:val="baseline"/>
                <w:lang w:val="en-US" w:eastAsia="zh-CN"/>
              </w:rPr>
            </w:pPr>
            <w:r>
              <w:rPr>
                <w:rFonts w:hint="default"/>
                <w:vertAlign w:val="baseline"/>
                <w:lang w:val="en-US" w:eastAsia="zh-CN"/>
              </w:rPr>
              <w:t>0x85  0xDB</w:t>
            </w:r>
          </w:p>
        </w:tc>
      </w:tr>
    </w:tbl>
    <w:p>
      <w:pPr>
        <w:numPr>
          <w:ilvl w:val="0"/>
          <w:numId w:val="0"/>
        </w:numPr>
        <w:rPr>
          <w:rFonts w:hint="default"/>
          <w:lang w:val="en-US" w:eastAsia="zh-CN"/>
        </w:rPr>
      </w:pPr>
      <w:r>
        <w:rPr>
          <w:rFonts w:hint="default"/>
          <w:lang w:val="en-US" w:eastAsia="zh-CN"/>
        </w:rPr>
        <w:t>0x00：广播地址（出厂默认为0x00）</w:t>
      </w:r>
    </w:p>
    <w:p>
      <w:pPr>
        <w:numPr>
          <w:ilvl w:val="0"/>
          <w:numId w:val="0"/>
        </w:numPr>
        <w:rPr>
          <w:rFonts w:hint="default"/>
          <w:lang w:val="en-US" w:eastAsia="zh-CN"/>
        </w:rPr>
      </w:pPr>
      <w:r>
        <w:rPr>
          <w:rFonts w:hint="default"/>
          <w:lang w:val="en-US" w:eastAsia="zh-CN"/>
        </w:rPr>
        <w:t>0x03：读取数据功能码</w:t>
      </w:r>
    </w:p>
    <w:p>
      <w:pPr>
        <w:numPr>
          <w:ilvl w:val="0"/>
          <w:numId w:val="0"/>
        </w:numPr>
        <w:rPr>
          <w:rFonts w:hint="default"/>
          <w:lang w:val="en-US" w:eastAsia="zh-CN"/>
        </w:rPr>
      </w:pPr>
      <w:r>
        <w:rPr>
          <w:rFonts w:hint="default"/>
          <w:lang w:val="en-US" w:eastAsia="zh-CN"/>
        </w:rPr>
        <w:t>0x00  0x00：从地址为0x00 0x00的寄存器（即40000）开始读取</w:t>
      </w:r>
    </w:p>
    <w:p>
      <w:pPr>
        <w:numPr>
          <w:ilvl w:val="0"/>
          <w:numId w:val="0"/>
        </w:numPr>
        <w:rPr>
          <w:rFonts w:hint="default"/>
          <w:lang w:val="en-US" w:eastAsia="zh-CN"/>
        </w:rPr>
      </w:pPr>
      <w:r>
        <w:rPr>
          <w:rFonts w:hint="default"/>
          <w:lang w:val="en-US" w:eastAsia="zh-CN"/>
        </w:rPr>
        <w:t>0x00  0x01：从上面指定的寄存器开始读取1个寄存器数据</w:t>
      </w:r>
    </w:p>
    <w:p>
      <w:pPr>
        <w:numPr>
          <w:ilvl w:val="0"/>
          <w:numId w:val="0"/>
        </w:numPr>
        <w:rPr>
          <w:rFonts w:hint="default"/>
          <w:lang w:val="en-US" w:eastAsia="zh-CN"/>
        </w:rPr>
      </w:pPr>
      <w:r>
        <w:rPr>
          <w:rFonts w:hint="default"/>
          <w:lang w:val="en-US" w:eastAsia="zh-CN"/>
        </w:rPr>
        <w:t>0x85  0xDB：CRC16校验码</w:t>
      </w:r>
    </w:p>
    <w:p>
      <w:pPr>
        <w:numPr>
          <w:ilvl w:val="0"/>
          <w:numId w:val="0"/>
        </w:numPr>
        <w:rPr>
          <w:rFonts w:hint="default"/>
          <w:lang w:val="en-US" w:eastAsia="zh-CN"/>
        </w:rPr>
      </w:pPr>
      <w:r>
        <w:rPr>
          <w:rFonts w:hint="default"/>
          <w:lang w:val="en-US" w:eastAsia="zh-CN"/>
        </w:rPr>
        <w:t>从机应答：01 03 02 01 31 78 00</w:t>
      </w:r>
    </w:p>
    <w:p>
      <w:pPr>
        <w:numPr>
          <w:ilvl w:val="0"/>
          <w:numId w:val="0"/>
        </w:numPr>
        <w:rPr>
          <w:rFonts w:hint="default"/>
          <w:lang w:val="en-US" w:eastAsia="zh-CN"/>
        </w:rPr>
      </w:pPr>
    </w:p>
    <w:tbl>
      <w:tblPr>
        <w:tblStyle w:val="3"/>
        <w:tblW w:w="8265"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2130"/>
        <w:gridCol w:w="2131"/>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tcPr>
          <w:p>
            <w:pPr>
              <w:numPr>
                <w:ilvl w:val="0"/>
                <w:numId w:val="0"/>
              </w:numPr>
              <w:rPr>
                <w:rFonts w:hint="default"/>
                <w:vertAlign w:val="baseline"/>
                <w:lang w:val="en-US" w:eastAsia="zh-CN"/>
              </w:rPr>
            </w:pPr>
            <w:r>
              <w:rPr>
                <w:rFonts w:hint="eastAsia"/>
                <w:vertAlign w:val="baseline"/>
                <w:lang w:val="en-US" w:eastAsia="zh-CN"/>
              </w:rPr>
              <w:t>帧头</w:t>
            </w:r>
          </w:p>
        </w:tc>
        <w:tc>
          <w:tcPr>
            <w:tcW w:w="2130" w:type="dxa"/>
          </w:tcPr>
          <w:p>
            <w:pPr>
              <w:numPr>
                <w:ilvl w:val="0"/>
                <w:numId w:val="0"/>
              </w:numPr>
              <w:rPr>
                <w:rFonts w:hint="default"/>
                <w:vertAlign w:val="baseline"/>
                <w:lang w:val="en-US" w:eastAsia="zh-CN"/>
              </w:rPr>
            </w:pPr>
            <w:r>
              <w:rPr>
                <w:rFonts w:hint="eastAsia"/>
                <w:vertAlign w:val="baseline"/>
                <w:lang w:val="en-US" w:eastAsia="zh-CN"/>
              </w:rPr>
              <w:t>数据长度</w:t>
            </w:r>
          </w:p>
        </w:tc>
        <w:tc>
          <w:tcPr>
            <w:tcW w:w="2131" w:type="dxa"/>
          </w:tcPr>
          <w:p>
            <w:pPr>
              <w:numPr>
                <w:ilvl w:val="0"/>
                <w:numId w:val="0"/>
              </w:numPr>
              <w:rPr>
                <w:rFonts w:hint="default"/>
                <w:vertAlign w:val="baseline"/>
                <w:lang w:val="en-US" w:eastAsia="zh-CN"/>
              </w:rPr>
            </w:pPr>
            <w:r>
              <w:rPr>
                <w:rFonts w:hint="eastAsia"/>
                <w:vertAlign w:val="baseline"/>
                <w:lang w:val="en-US" w:eastAsia="zh-CN"/>
              </w:rPr>
              <w:t>传感器数据</w:t>
            </w:r>
          </w:p>
        </w:tc>
        <w:tc>
          <w:tcPr>
            <w:tcW w:w="1988" w:type="dxa"/>
          </w:tcPr>
          <w:p>
            <w:pPr>
              <w:numPr>
                <w:ilvl w:val="0"/>
                <w:numId w:val="0"/>
              </w:numPr>
              <w:rPr>
                <w:rFonts w:hint="default"/>
                <w:vertAlign w:val="baseline"/>
                <w:lang w:val="en-US" w:eastAsia="zh-CN"/>
              </w:rPr>
            </w:pPr>
            <w:r>
              <w:rPr>
                <w:rFonts w:hint="eastAsia"/>
                <w:vertAlign w:val="baseline"/>
                <w:lang w:val="en-US" w:eastAsia="zh-CN"/>
              </w:rPr>
              <w:t>CRC校验码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tcPr>
          <w:p>
            <w:pPr>
              <w:numPr>
                <w:ilvl w:val="0"/>
                <w:numId w:val="0"/>
              </w:numPr>
              <w:rPr>
                <w:rFonts w:hint="default"/>
                <w:vertAlign w:val="baseline"/>
                <w:lang w:val="en-US" w:eastAsia="zh-CN"/>
              </w:rPr>
            </w:pPr>
            <w:r>
              <w:rPr>
                <w:rFonts w:hint="default"/>
                <w:vertAlign w:val="baseline"/>
                <w:lang w:val="en-US" w:eastAsia="zh-CN"/>
              </w:rPr>
              <w:t>0x01  0x03</w:t>
            </w:r>
            <w:r>
              <w:rPr>
                <w:rFonts w:hint="default"/>
                <w:vertAlign w:val="baseline"/>
                <w:lang w:val="en-US" w:eastAsia="zh-CN"/>
              </w:rPr>
              <w:tab/>
            </w:r>
            <w:r>
              <w:rPr>
                <w:rFonts w:hint="default"/>
                <w:vertAlign w:val="baseline"/>
                <w:lang w:val="en-US" w:eastAsia="zh-CN"/>
              </w:rPr>
              <w:t xml:space="preserve">           </w:t>
            </w:r>
          </w:p>
        </w:tc>
        <w:tc>
          <w:tcPr>
            <w:tcW w:w="2130" w:type="dxa"/>
          </w:tcPr>
          <w:p>
            <w:pPr>
              <w:numPr>
                <w:ilvl w:val="0"/>
                <w:numId w:val="0"/>
              </w:numPr>
              <w:rPr>
                <w:rFonts w:hint="default"/>
                <w:vertAlign w:val="baseline"/>
                <w:lang w:val="en-US" w:eastAsia="zh-CN"/>
              </w:rPr>
            </w:pPr>
            <w:r>
              <w:rPr>
                <w:rFonts w:hint="default"/>
                <w:vertAlign w:val="baseline"/>
                <w:lang w:val="en-US" w:eastAsia="zh-CN"/>
              </w:rPr>
              <w:t>0x02</w:t>
            </w:r>
          </w:p>
        </w:tc>
        <w:tc>
          <w:tcPr>
            <w:tcW w:w="2131" w:type="dxa"/>
          </w:tcPr>
          <w:p>
            <w:pPr>
              <w:numPr>
                <w:ilvl w:val="0"/>
                <w:numId w:val="0"/>
              </w:numPr>
              <w:rPr>
                <w:rFonts w:hint="default"/>
                <w:vertAlign w:val="baseline"/>
                <w:lang w:val="en-US" w:eastAsia="zh-CN"/>
              </w:rPr>
            </w:pPr>
            <w:r>
              <w:rPr>
                <w:rFonts w:hint="default"/>
                <w:vertAlign w:val="baseline"/>
                <w:lang w:val="en-US" w:eastAsia="zh-CN"/>
              </w:rPr>
              <w:t>0x01 0x31</w:t>
            </w:r>
          </w:p>
        </w:tc>
        <w:tc>
          <w:tcPr>
            <w:tcW w:w="1988" w:type="dxa"/>
          </w:tcPr>
          <w:p>
            <w:pPr>
              <w:numPr>
                <w:ilvl w:val="0"/>
                <w:numId w:val="0"/>
              </w:numPr>
              <w:rPr>
                <w:rFonts w:hint="default"/>
                <w:vertAlign w:val="baseline"/>
                <w:lang w:val="en-US" w:eastAsia="zh-CN"/>
              </w:rPr>
            </w:pPr>
            <w:r>
              <w:rPr>
                <w:rFonts w:hint="default"/>
                <w:vertAlign w:val="baseline"/>
                <w:lang w:val="en-US" w:eastAsia="zh-CN"/>
              </w:rPr>
              <w:t>0x78  0x00</w:t>
            </w:r>
          </w:p>
        </w:tc>
      </w:tr>
    </w:tbl>
    <w:p>
      <w:pPr>
        <w:numPr>
          <w:ilvl w:val="0"/>
          <w:numId w:val="0"/>
        </w:numPr>
        <w:rPr>
          <w:rFonts w:hint="default"/>
          <w:lang w:val="en-US" w:eastAsia="zh-CN"/>
        </w:rPr>
      </w:pPr>
      <w:r>
        <w:rPr>
          <w:rFonts w:hint="default"/>
          <w:lang w:val="en-US" w:eastAsia="zh-CN"/>
        </w:rPr>
        <w:t>0x01：设备地址</w:t>
      </w:r>
    </w:p>
    <w:p>
      <w:pPr>
        <w:numPr>
          <w:ilvl w:val="0"/>
          <w:numId w:val="0"/>
        </w:numPr>
        <w:rPr>
          <w:rFonts w:hint="default"/>
          <w:lang w:val="en-US" w:eastAsia="zh-CN"/>
        </w:rPr>
      </w:pPr>
      <w:r>
        <w:rPr>
          <w:rFonts w:hint="default"/>
          <w:lang w:val="en-US" w:eastAsia="zh-CN"/>
        </w:rPr>
        <w:t>0x03：读取数据功能码</w:t>
      </w:r>
    </w:p>
    <w:p>
      <w:pPr>
        <w:numPr>
          <w:ilvl w:val="0"/>
          <w:numId w:val="0"/>
        </w:numPr>
        <w:rPr>
          <w:rFonts w:hint="default"/>
          <w:lang w:val="en-US" w:eastAsia="zh-CN"/>
        </w:rPr>
      </w:pPr>
      <w:r>
        <w:rPr>
          <w:rFonts w:hint="default"/>
          <w:lang w:val="en-US" w:eastAsia="zh-CN"/>
        </w:rPr>
        <w:t>0x01  031：传感器数据</w:t>
      </w:r>
    </w:p>
    <w:p>
      <w:pPr>
        <w:numPr>
          <w:ilvl w:val="0"/>
          <w:numId w:val="0"/>
        </w:numPr>
        <w:rPr>
          <w:rFonts w:hint="default"/>
          <w:lang w:val="en-US" w:eastAsia="zh-CN"/>
        </w:rPr>
      </w:pPr>
      <w:r>
        <w:rPr>
          <w:rFonts w:hint="default"/>
          <w:lang w:val="en-US" w:eastAsia="zh-CN"/>
        </w:rPr>
        <w:t>0x78  0x00：CRC16校验码</w:t>
      </w:r>
    </w:p>
    <w:p>
      <w:pPr>
        <w:numPr>
          <w:ilvl w:val="0"/>
          <w:numId w:val="0"/>
        </w:numPr>
        <w:rPr>
          <w:rFonts w:hint="default"/>
          <w:lang w:val="en-US" w:eastAsia="zh-CN"/>
        </w:rPr>
      </w:pPr>
      <w:r>
        <w:rPr>
          <w:rFonts w:hint="default"/>
          <w:lang w:val="en-US" w:eastAsia="zh-CN"/>
        </w:rPr>
        <w:t>(注意：返回的数据中第一个字节即为设备当前实际地址)</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ind w:leftChars="0"/>
        <w:rPr>
          <w:rFonts w:hint="eastAsia"/>
          <w:b/>
          <w:bCs/>
          <w:sz w:val="24"/>
          <w:szCs w:val="24"/>
          <w:lang w:val="en-US" w:eastAsia="zh-CN"/>
        </w:rPr>
      </w:pPr>
      <w:r>
        <w:rPr>
          <w:rFonts w:hint="eastAsia"/>
          <w:b/>
          <w:bCs/>
          <w:sz w:val="24"/>
          <w:szCs w:val="24"/>
          <w:lang w:val="en-US" w:eastAsia="zh-CN"/>
        </w:rPr>
        <w:t>显示介绍</w:t>
      </w:r>
    </w:p>
    <w:p>
      <w:pPr>
        <w:numPr>
          <w:ilvl w:val="0"/>
          <w:numId w:val="0"/>
        </w:numPr>
        <w:rPr>
          <w:rFonts w:hint="default"/>
          <w:lang w:val="en-US" w:eastAsia="zh-CN"/>
        </w:rPr>
      </w:pPr>
    </w:p>
    <w:p>
      <w:pPr>
        <w:numPr>
          <w:ilvl w:val="0"/>
          <w:numId w:val="0"/>
        </w:numPr>
        <w:jc w:val="center"/>
        <w:rPr>
          <w:rFonts w:hint="default"/>
          <w:lang w:val="en-US" w:eastAsia="zh-CN"/>
        </w:rPr>
      </w:pPr>
      <w:bookmarkStart w:id="0" w:name="_GoBack"/>
      <w:bookmarkEnd w:id="0"/>
      <w:r>
        <w:rPr>
          <w:rFonts w:hint="default"/>
          <w:lang w:val="en-US" w:eastAsia="zh-CN"/>
        </w:rPr>
        <w:drawing>
          <wp:inline distT="0" distB="0" distL="114300" distR="114300">
            <wp:extent cx="3028950" cy="1822450"/>
            <wp:effectExtent l="0" t="0" r="0" b="6350"/>
            <wp:docPr id="6" name="图片 6" descr="C:\Users\Administrator\Desktop\bd8028078acdd2c99b00f4ea81d4025.pngbd8028078acdd2c99b00f4ea81d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bd8028078acdd2c99b00f4ea81d4025.pngbd8028078acdd2c99b00f4ea81d4025"/>
                    <pic:cNvPicPr>
                      <a:picLocks noChangeAspect="1"/>
                    </pic:cNvPicPr>
                  </pic:nvPicPr>
                  <pic:blipFill>
                    <a:blip r:embed="rId8"/>
                    <a:srcRect/>
                    <a:stretch>
                      <a:fillRect/>
                    </a:stretch>
                  </pic:blipFill>
                  <pic:spPr>
                    <a:xfrm>
                      <a:off x="0" y="0"/>
                      <a:ext cx="3028950" cy="1822450"/>
                    </a:xfrm>
                    <a:prstGeom prst="rect">
                      <a:avLst/>
                    </a:prstGeom>
                  </pic:spPr>
                </pic:pic>
              </a:graphicData>
            </a:graphic>
          </wp:inline>
        </w:drawing>
      </w:r>
    </w:p>
    <w:p>
      <w:pPr>
        <w:numPr>
          <w:ilvl w:val="0"/>
          <w:numId w:val="0"/>
        </w:numPr>
        <w:jc w:val="center"/>
        <w:rPr>
          <w:rFonts w:hint="default"/>
          <w:lang w:val="en-US" w:eastAsia="zh-CN"/>
        </w:rPr>
      </w:pPr>
    </w:p>
    <w:tbl>
      <w:tblPr>
        <w:tblStyle w:val="3"/>
        <w:tblW w:w="823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numPr>
                <w:ilvl w:val="0"/>
                <w:numId w:val="0"/>
              </w:numPr>
              <w:rPr>
                <w:rFonts w:hint="default"/>
                <w:vertAlign w:val="baseline"/>
                <w:lang w:val="en-US" w:eastAsia="zh-CN"/>
              </w:rPr>
            </w:pPr>
            <w:r>
              <w:rPr>
                <w:rFonts w:hint="eastAsia"/>
                <w:vertAlign w:val="baseline"/>
                <w:lang w:val="en-US" w:eastAsia="zh-CN"/>
              </w:rPr>
              <w:t>检测参数</w:t>
            </w:r>
          </w:p>
        </w:tc>
        <w:tc>
          <w:tcPr>
            <w:tcW w:w="6975" w:type="dxa"/>
          </w:tcPr>
          <w:p>
            <w:pPr>
              <w:numPr>
                <w:ilvl w:val="0"/>
                <w:numId w:val="0"/>
              </w:numPr>
              <w:rPr>
                <w:rFonts w:hint="default"/>
                <w:vertAlign w:val="baseline"/>
                <w:lang w:val="en-US" w:eastAsia="zh-CN"/>
              </w:rPr>
            </w:pPr>
            <w:r>
              <w:rPr>
                <w:rFonts w:hint="default"/>
                <w:lang w:val="en-US" w:eastAsia="zh-CN"/>
              </w:rPr>
              <w:t>仪器检测参数名称由化学名显示。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0" w:type="dxa"/>
          </w:tcPr>
          <w:p>
            <w:pPr>
              <w:numPr>
                <w:ilvl w:val="0"/>
                <w:numId w:val="0"/>
              </w:numPr>
              <w:rPr>
                <w:rFonts w:hint="default"/>
                <w:vertAlign w:val="baseline"/>
                <w:lang w:val="en-US" w:eastAsia="zh-CN"/>
              </w:rPr>
            </w:pPr>
            <w:r>
              <w:rPr>
                <w:rFonts w:hint="eastAsia"/>
                <w:vertAlign w:val="baseline"/>
                <w:lang w:val="en-US" w:eastAsia="zh-CN"/>
              </w:rPr>
              <w:t>工作状态</w:t>
            </w:r>
          </w:p>
        </w:tc>
        <w:tc>
          <w:tcPr>
            <w:tcW w:w="6975" w:type="dxa"/>
          </w:tcPr>
          <w:p>
            <w:pPr>
              <w:numPr>
                <w:ilvl w:val="0"/>
                <w:numId w:val="0"/>
              </w:numPr>
              <w:rPr>
                <w:rFonts w:hint="default"/>
                <w:vertAlign w:val="baseline"/>
                <w:lang w:val="en-US" w:eastAsia="zh-CN"/>
              </w:rPr>
            </w:pPr>
            <w:r>
              <w:rPr>
                <w:rFonts w:hint="default"/>
                <w:lang w:val="en-US" w:eastAsia="zh-CN"/>
              </w:rPr>
              <w:t>正常时笑脸图标与同心圆闪烁显示；不正常时没有闪烁，只显示一个图标</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numPr>
                <w:ilvl w:val="0"/>
                <w:numId w:val="0"/>
              </w:numPr>
              <w:rPr>
                <w:rFonts w:hint="default"/>
                <w:vertAlign w:val="baseline"/>
                <w:lang w:val="en-US" w:eastAsia="zh-CN"/>
              </w:rPr>
            </w:pPr>
            <w:r>
              <w:rPr>
                <w:rFonts w:hint="eastAsia"/>
                <w:vertAlign w:val="baseline"/>
                <w:lang w:val="en-US" w:eastAsia="zh-CN"/>
              </w:rPr>
              <w:t>报警使能</w:t>
            </w:r>
          </w:p>
        </w:tc>
        <w:tc>
          <w:tcPr>
            <w:tcW w:w="6975" w:type="dxa"/>
          </w:tcPr>
          <w:p>
            <w:pPr>
              <w:numPr>
                <w:ilvl w:val="0"/>
                <w:numId w:val="0"/>
              </w:numPr>
              <w:rPr>
                <w:rFonts w:hint="default"/>
                <w:vertAlign w:val="baseline"/>
                <w:lang w:val="en-US" w:eastAsia="zh-CN"/>
              </w:rPr>
            </w:pPr>
            <w:r>
              <w:rPr>
                <w:rFonts w:hint="default"/>
                <w:lang w:val="en-US" w:eastAsia="zh-CN"/>
              </w:rPr>
              <w:t>有报警图标表示报警状态开启，当样品浓度值超出(或低于)设定值将输出报警信号且闪烁；如没这个图标则没有报警信号输出。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0" w:type="dxa"/>
          </w:tcPr>
          <w:p>
            <w:pPr>
              <w:numPr>
                <w:ilvl w:val="0"/>
                <w:numId w:val="0"/>
              </w:numPr>
              <w:rPr>
                <w:rFonts w:hint="default"/>
                <w:vertAlign w:val="baseline"/>
                <w:lang w:val="en-US" w:eastAsia="zh-CN"/>
              </w:rPr>
            </w:pPr>
            <w:r>
              <w:rPr>
                <w:rFonts w:hint="eastAsia"/>
                <w:vertAlign w:val="baseline"/>
                <w:lang w:val="en-US" w:eastAsia="zh-CN"/>
              </w:rPr>
              <w:t>检测数据</w:t>
            </w:r>
          </w:p>
        </w:tc>
        <w:tc>
          <w:tcPr>
            <w:tcW w:w="6975" w:type="dxa"/>
          </w:tcPr>
          <w:p>
            <w:pPr>
              <w:numPr>
                <w:ilvl w:val="0"/>
                <w:numId w:val="0"/>
              </w:numPr>
              <w:rPr>
                <w:rFonts w:hint="default"/>
                <w:vertAlign w:val="baseline"/>
                <w:lang w:val="en-US" w:eastAsia="zh-CN"/>
              </w:rPr>
            </w:pPr>
            <w:r>
              <w:rPr>
                <w:rFonts w:hint="default"/>
                <w:lang w:val="en-US" w:eastAsia="zh-CN"/>
              </w:rPr>
              <w:t>传感器检测的实时读数。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numPr>
                <w:ilvl w:val="0"/>
                <w:numId w:val="0"/>
              </w:numPr>
              <w:rPr>
                <w:rFonts w:hint="default"/>
                <w:vertAlign w:val="baseline"/>
                <w:lang w:val="en-US" w:eastAsia="zh-CN"/>
              </w:rPr>
            </w:pPr>
            <w:r>
              <w:rPr>
                <w:rFonts w:hint="eastAsia"/>
                <w:vertAlign w:val="baseline"/>
                <w:lang w:val="en-US" w:eastAsia="zh-CN"/>
              </w:rPr>
              <w:t>量程范围</w:t>
            </w:r>
          </w:p>
        </w:tc>
        <w:tc>
          <w:tcPr>
            <w:tcW w:w="6975" w:type="dxa"/>
          </w:tcPr>
          <w:p>
            <w:pPr>
              <w:numPr>
                <w:ilvl w:val="0"/>
                <w:numId w:val="0"/>
              </w:numPr>
              <w:rPr>
                <w:rFonts w:hint="default"/>
                <w:vertAlign w:val="baseline"/>
                <w:lang w:val="en-US" w:eastAsia="zh-CN"/>
              </w:rPr>
            </w:pPr>
            <w:r>
              <w:rPr>
                <w:rFonts w:hint="default"/>
                <w:lang w:val="en-US" w:eastAsia="zh-CN"/>
              </w:rPr>
              <w:t>显示本仪器工作检测最大量程范围。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0" w:type="dxa"/>
          </w:tcPr>
          <w:p>
            <w:pPr>
              <w:numPr>
                <w:ilvl w:val="0"/>
                <w:numId w:val="0"/>
              </w:numPr>
              <w:rPr>
                <w:rFonts w:hint="default"/>
                <w:vertAlign w:val="baseline"/>
                <w:lang w:val="en-US" w:eastAsia="zh-CN"/>
              </w:rPr>
            </w:pPr>
            <w:r>
              <w:rPr>
                <w:rFonts w:hint="eastAsia"/>
                <w:vertAlign w:val="baseline"/>
                <w:lang w:val="en-US" w:eastAsia="zh-CN"/>
              </w:rPr>
              <w:t>报警设置</w:t>
            </w:r>
          </w:p>
        </w:tc>
        <w:tc>
          <w:tcPr>
            <w:tcW w:w="6975" w:type="dxa"/>
          </w:tcPr>
          <w:p>
            <w:pPr>
              <w:numPr>
                <w:ilvl w:val="0"/>
                <w:numId w:val="0"/>
              </w:numPr>
              <w:rPr>
                <w:rFonts w:hint="default"/>
                <w:vertAlign w:val="baseline"/>
                <w:lang w:val="en-US" w:eastAsia="zh-CN"/>
              </w:rPr>
            </w:pPr>
            <w:r>
              <w:rPr>
                <w:rFonts w:hint="default"/>
                <w:lang w:val="en-US" w:eastAsia="zh-CN"/>
              </w:rPr>
              <w:t>设定样品浓度报警值：AH表示高于或等于、AL表示低于或等于；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numPr>
                <w:ilvl w:val="0"/>
                <w:numId w:val="0"/>
              </w:numPr>
              <w:rPr>
                <w:rFonts w:hint="default"/>
                <w:vertAlign w:val="baseline"/>
                <w:lang w:val="en-US" w:eastAsia="zh-CN"/>
              </w:rPr>
            </w:pPr>
            <w:r>
              <w:rPr>
                <w:rFonts w:hint="eastAsia"/>
                <w:vertAlign w:val="baseline"/>
                <w:lang w:val="en-US" w:eastAsia="zh-CN"/>
              </w:rPr>
              <w:t>工作模式</w:t>
            </w:r>
          </w:p>
        </w:tc>
        <w:tc>
          <w:tcPr>
            <w:tcW w:w="6975" w:type="dxa"/>
          </w:tcPr>
          <w:p>
            <w:pPr>
              <w:numPr>
                <w:ilvl w:val="0"/>
                <w:numId w:val="0"/>
              </w:numPr>
              <w:rPr>
                <w:rFonts w:hint="default"/>
                <w:vertAlign w:val="baseline"/>
                <w:lang w:val="en-US" w:eastAsia="zh-CN"/>
              </w:rPr>
            </w:pPr>
            <w:r>
              <w:rPr>
                <w:rFonts w:hint="default"/>
                <w:lang w:val="en-US" w:eastAsia="zh-CN"/>
              </w:rPr>
              <w:t>工作模式有R图标表示仪器由客户自校准过，如无R图标则表示产品为出厂时标准设置。</w:t>
            </w:r>
          </w:p>
        </w:tc>
      </w:tr>
    </w:tbl>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b/>
          <w:bCs/>
          <w:lang w:val="en-US" w:eastAsia="zh-CN"/>
        </w:rPr>
      </w:pPr>
      <w:r>
        <w:rPr>
          <w:rFonts w:hint="default"/>
          <w:b/>
          <w:bCs/>
          <w:lang w:val="en-US" w:eastAsia="zh-CN"/>
        </w:rPr>
        <w:t>菜单模式</w:t>
      </w:r>
    </w:p>
    <w:p>
      <w:pPr>
        <w:numPr>
          <w:ilvl w:val="0"/>
          <w:numId w:val="0"/>
        </w:numPr>
        <w:rPr>
          <w:rFonts w:hint="default"/>
          <w:lang w:val="en-US" w:eastAsia="zh-CN"/>
        </w:rPr>
      </w:pPr>
    </w:p>
    <w:p>
      <w:pPr>
        <w:numPr>
          <w:ilvl w:val="0"/>
          <w:numId w:val="0"/>
        </w:numPr>
        <w:rPr>
          <w:rFonts w:hint="default"/>
          <w:b/>
          <w:bCs/>
          <w:lang w:val="en-US" w:eastAsia="zh-CN"/>
        </w:rPr>
      </w:pPr>
      <w:r>
        <w:rPr>
          <w:rFonts w:hint="eastAsia"/>
          <w:b/>
          <w:bCs/>
          <w:lang w:val="en-US" w:eastAsia="zh-CN"/>
        </w:rPr>
        <w:t>1）</w:t>
      </w:r>
      <w:r>
        <w:rPr>
          <w:rFonts w:hint="default"/>
          <w:b/>
          <w:bCs/>
          <w:lang w:val="en-US" w:eastAsia="zh-CN"/>
        </w:rPr>
        <w:t>主菜单显示与操作</w:t>
      </w:r>
    </w:p>
    <w:p>
      <w:pPr>
        <w:numPr>
          <w:ilvl w:val="0"/>
          <w:numId w:val="0"/>
        </w:numPr>
        <w:rPr>
          <w:rFonts w:hint="default"/>
          <w:lang w:val="en-US" w:eastAsia="zh-CN"/>
        </w:rPr>
      </w:pPr>
      <w:r>
        <w:rPr>
          <w:rFonts w:hint="default"/>
          <w:lang w:val="en-US" w:eastAsia="zh-CN"/>
        </w:rPr>
        <w:t>当按IR遥控器（红外遥控器）上的“菜单”键会进入“菜单选项”页面</w:t>
      </w:r>
    </w:p>
    <w:p>
      <w:pPr>
        <w:numPr>
          <w:ilvl w:val="0"/>
          <w:numId w:val="0"/>
        </w:numPr>
        <w:jc w:val="center"/>
        <w:rPr>
          <w:rFonts w:hint="default"/>
          <w:lang w:val="en-US" w:eastAsia="zh-CN"/>
        </w:rPr>
      </w:pPr>
      <w:r>
        <w:rPr>
          <w:rFonts w:hint="default"/>
          <w:lang w:val="en-US" w:eastAsia="zh-CN"/>
        </w:rPr>
        <w:drawing>
          <wp:inline distT="0" distB="0" distL="114300" distR="114300">
            <wp:extent cx="4327525" cy="1052830"/>
            <wp:effectExtent l="0" t="0" r="15875" b="13970"/>
            <wp:docPr id="7" name="图片 7" descr="9-10通讯示例和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10通讯示例和显示"/>
                    <pic:cNvPicPr>
                      <a:picLocks noChangeAspect="1"/>
                    </pic:cNvPicPr>
                  </pic:nvPicPr>
                  <pic:blipFill>
                    <a:blip r:embed="rId9"/>
                    <a:srcRect l="58997" t="65076" r="8599" b="22413"/>
                    <a:stretch>
                      <a:fillRect/>
                    </a:stretch>
                  </pic:blipFill>
                  <pic:spPr>
                    <a:xfrm>
                      <a:off x="0" y="0"/>
                      <a:ext cx="4327525" cy="1052830"/>
                    </a:xfrm>
                    <a:prstGeom prst="rect">
                      <a:avLst/>
                    </a:prstGeom>
                  </pic:spPr>
                </pic:pic>
              </a:graphicData>
            </a:graphic>
          </wp:inline>
        </w:drawing>
      </w:r>
    </w:p>
    <w:p>
      <w:pPr>
        <w:numPr>
          <w:ilvl w:val="0"/>
          <w:numId w:val="0"/>
        </w:numPr>
        <w:rPr>
          <w:rFonts w:hint="default"/>
          <w:lang w:val="en-US" w:eastAsia="zh-CN"/>
        </w:rPr>
      </w:pPr>
      <w:r>
        <w:rPr>
          <w:rFonts w:hint="default"/>
          <w:lang w:val="en-US" w:eastAsia="zh-CN"/>
        </w:rPr>
        <w:t>菜单选项分五级菜单：1.清零；2.用户校正；3.恢复出厂；4.地址设置；5.退出；</w:t>
      </w:r>
    </w:p>
    <w:p>
      <w:pPr>
        <w:numPr>
          <w:ilvl w:val="0"/>
          <w:numId w:val="0"/>
        </w:numPr>
        <w:rPr>
          <w:rFonts w:hint="default"/>
          <w:lang w:val="en-US" w:eastAsia="zh-CN"/>
        </w:rPr>
      </w:pPr>
      <w:r>
        <w:rPr>
          <w:rFonts w:hint="default"/>
          <w:lang w:val="en-US" w:eastAsia="zh-CN"/>
        </w:rPr>
        <w:t>各功能菜单进入，按IR遥控器（红外遥控器）中的“选择”键进行选择，选择时相应的菜单会反白显示；选择好相应操作菜单后，按IR遥控器（红外遥控器）中的“确认”进入相应菜单操作。</w:t>
      </w:r>
    </w:p>
    <w:p>
      <w:pPr>
        <w:numPr>
          <w:ilvl w:val="0"/>
          <w:numId w:val="0"/>
        </w:numPr>
        <w:rPr>
          <w:rFonts w:hint="eastAsia"/>
          <w:lang w:val="en-US" w:eastAsia="zh-CN"/>
        </w:rPr>
      </w:pPr>
    </w:p>
    <w:p>
      <w:pPr>
        <w:numPr>
          <w:ilvl w:val="0"/>
          <w:numId w:val="0"/>
        </w:numPr>
        <w:rPr>
          <w:rFonts w:hint="eastAsia"/>
          <w:b/>
          <w:bCs/>
          <w:lang w:val="en-US" w:eastAsia="zh-CN"/>
        </w:rPr>
      </w:pPr>
      <w:r>
        <w:rPr>
          <w:rFonts w:hint="default"/>
          <w:lang w:val="en-US" w:eastAsia="zh-CN"/>
        </w:rPr>
        <w:drawing>
          <wp:anchor distT="0" distB="0" distL="114300" distR="114300" simplePos="0" relativeHeight="251658240" behindDoc="0" locked="0" layoutInCell="1" allowOverlap="1">
            <wp:simplePos x="0" y="0"/>
            <wp:positionH relativeFrom="column">
              <wp:posOffset>3378200</wp:posOffset>
            </wp:positionH>
            <wp:positionV relativeFrom="paragraph">
              <wp:posOffset>17780</wp:posOffset>
            </wp:positionV>
            <wp:extent cx="1657985" cy="1264920"/>
            <wp:effectExtent l="0" t="0" r="18415" b="11430"/>
            <wp:wrapNone/>
            <wp:docPr id="8" name="图片 8" descr="1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12.13"/>
                    <pic:cNvPicPr>
                      <a:picLocks noChangeAspect="1"/>
                    </pic:cNvPicPr>
                  </pic:nvPicPr>
                  <pic:blipFill>
                    <a:blip r:embed="rId10"/>
                    <a:srcRect l="34033" t="16235" r="53099" b="69796"/>
                    <a:stretch>
                      <a:fillRect/>
                    </a:stretch>
                  </pic:blipFill>
                  <pic:spPr>
                    <a:xfrm>
                      <a:off x="0" y="0"/>
                      <a:ext cx="1657985" cy="1264920"/>
                    </a:xfrm>
                    <a:prstGeom prst="rect">
                      <a:avLst/>
                    </a:prstGeom>
                  </pic:spPr>
                </pic:pic>
              </a:graphicData>
            </a:graphic>
          </wp:anchor>
        </w:drawing>
      </w:r>
    </w:p>
    <w:p>
      <w:pPr>
        <w:numPr>
          <w:ilvl w:val="0"/>
          <w:numId w:val="0"/>
        </w:numPr>
        <w:rPr>
          <w:rFonts w:hint="default"/>
          <w:lang w:val="en-US" w:eastAsia="zh-CN"/>
        </w:rPr>
      </w:pPr>
      <w:r>
        <w:rPr>
          <w:rFonts w:hint="eastAsia"/>
          <w:b/>
          <w:bCs/>
          <w:lang w:val="en-US" w:eastAsia="zh-CN"/>
        </w:rPr>
        <w:t>2）</w:t>
      </w:r>
      <w:r>
        <w:rPr>
          <w:rFonts w:hint="default"/>
          <w:b/>
          <w:bCs/>
          <w:lang w:val="en-US" w:eastAsia="zh-CN"/>
        </w:rPr>
        <w:t>清零操作</w:t>
      </w:r>
    </w:p>
    <w:p>
      <w:pPr>
        <w:numPr>
          <w:ilvl w:val="0"/>
          <w:numId w:val="0"/>
        </w:numPr>
        <w:rPr>
          <w:rFonts w:hint="default"/>
          <w:lang w:val="en-US" w:eastAsia="zh-CN"/>
        </w:rPr>
      </w:pPr>
      <w:r>
        <w:rPr>
          <w:rFonts w:hint="default"/>
          <w:lang w:val="en-US" w:eastAsia="zh-CN"/>
        </w:rPr>
        <w:t>清零界面操作进入：A.按红外遥控器“清零”按键直接</w:t>
      </w:r>
    </w:p>
    <w:p>
      <w:pPr>
        <w:numPr>
          <w:ilvl w:val="0"/>
          <w:numId w:val="0"/>
        </w:numPr>
        <w:rPr>
          <w:rFonts w:hint="default"/>
          <w:lang w:val="en-US" w:eastAsia="zh-CN"/>
        </w:rPr>
      </w:pPr>
      <w:r>
        <w:rPr>
          <w:rFonts w:hint="default"/>
          <w:lang w:val="en-US" w:eastAsia="zh-CN"/>
        </w:rPr>
        <w:t>进入；B.在菜单选项中选择清零菜单进入。</w:t>
      </w:r>
    </w:p>
    <w:tbl>
      <w:tblPr>
        <w:tblStyle w:val="3"/>
        <w:tblW w:w="474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3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numPr>
                <w:ilvl w:val="0"/>
                <w:numId w:val="0"/>
              </w:numPr>
              <w:jc w:val="center"/>
              <w:rPr>
                <w:rFonts w:hint="default"/>
                <w:vertAlign w:val="baseline"/>
                <w:lang w:val="en-US" w:eastAsia="zh-CN"/>
              </w:rPr>
            </w:pPr>
            <w:r>
              <w:rPr>
                <w:rFonts w:hint="eastAsia"/>
                <w:vertAlign w:val="baseline"/>
                <w:lang w:val="en-US" w:eastAsia="zh-CN"/>
              </w:rPr>
              <w:t>YES</w:t>
            </w:r>
          </w:p>
        </w:tc>
        <w:tc>
          <w:tcPr>
            <w:tcW w:w="3945" w:type="dxa"/>
          </w:tcPr>
          <w:p>
            <w:pPr>
              <w:numPr>
                <w:ilvl w:val="0"/>
                <w:numId w:val="0"/>
              </w:numPr>
              <w:rPr>
                <w:rFonts w:hint="default"/>
                <w:vertAlign w:val="baseline"/>
                <w:lang w:val="en-US" w:eastAsia="zh-CN"/>
              </w:rPr>
            </w:pPr>
            <w:r>
              <w:rPr>
                <w:rFonts w:hint="eastAsia"/>
                <w:vertAlign w:val="baseline"/>
                <w:lang w:val="en-US" w:eastAsia="zh-CN"/>
              </w:rPr>
              <w:t>确认后数据将全部清零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5" w:type="dxa"/>
          </w:tcPr>
          <w:p>
            <w:pPr>
              <w:numPr>
                <w:ilvl w:val="0"/>
                <w:numId w:val="0"/>
              </w:numPr>
              <w:jc w:val="center"/>
              <w:rPr>
                <w:rFonts w:hint="default"/>
                <w:vertAlign w:val="baseline"/>
                <w:lang w:val="en-US" w:eastAsia="zh-CN"/>
              </w:rPr>
            </w:pPr>
            <w:r>
              <w:rPr>
                <w:rFonts w:hint="eastAsia"/>
                <w:vertAlign w:val="baseline"/>
                <w:lang w:val="en-US" w:eastAsia="zh-CN"/>
              </w:rPr>
              <w:t>NO</w:t>
            </w:r>
          </w:p>
        </w:tc>
        <w:tc>
          <w:tcPr>
            <w:tcW w:w="3945" w:type="dxa"/>
          </w:tcPr>
          <w:p>
            <w:pPr>
              <w:numPr>
                <w:ilvl w:val="0"/>
                <w:numId w:val="0"/>
              </w:numPr>
              <w:rPr>
                <w:rFonts w:hint="default"/>
                <w:vertAlign w:val="baseline"/>
                <w:lang w:val="en-US" w:eastAsia="zh-CN"/>
              </w:rPr>
            </w:pPr>
            <w:r>
              <w:rPr>
                <w:rFonts w:hint="default"/>
                <w:vertAlign w:val="baseline"/>
                <w:lang w:val="en-US" w:eastAsia="zh-CN"/>
              </w:rPr>
              <w:t>确认后数据不被清零且退出此页面</w:t>
            </w:r>
          </w:p>
        </w:tc>
      </w:tr>
    </w:tbl>
    <w:p>
      <w:pPr>
        <w:numPr>
          <w:ilvl w:val="0"/>
          <w:numId w:val="0"/>
        </w:numPr>
        <w:rPr>
          <w:rFonts w:hint="eastAsia"/>
          <w:b/>
          <w:bCs/>
          <w:lang w:val="en-US" w:eastAsia="zh-CN"/>
        </w:rPr>
      </w:pPr>
      <w:r>
        <w:rPr>
          <w:rFonts w:hint="default"/>
          <w:lang w:val="en-US" w:eastAsia="zh-CN"/>
        </w:rPr>
        <w:drawing>
          <wp:anchor distT="0" distB="0" distL="114300" distR="114300" simplePos="0" relativeHeight="251659264" behindDoc="0" locked="0" layoutInCell="1" allowOverlap="1">
            <wp:simplePos x="0" y="0"/>
            <wp:positionH relativeFrom="column">
              <wp:posOffset>3634105</wp:posOffset>
            </wp:positionH>
            <wp:positionV relativeFrom="paragraph">
              <wp:posOffset>189230</wp:posOffset>
            </wp:positionV>
            <wp:extent cx="1568450" cy="1126490"/>
            <wp:effectExtent l="0" t="0" r="12700" b="16510"/>
            <wp:wrapNone/>
            <wp:docPr id="9" name="图片 9" descr="1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2.13"/>
                    <pic:cNvPicPr>
                      <a:picLocks noChangeAspect="1"/>
                    </pic:cNvPicPr>
                  </pic:nvPicPr>
                  <pic:blipFill>
                    <a:blip r:embed="rId10"/>
                    <a:srcRect l="34033" t="41445" r="53823" b="46147"/>
                    <a:stretch>
                      <a:fillRect/>
                    </a:stretch>
                  </pic:blipFill>
                  <pic:spPr>
                    <a:xfrm>
                      <a:off x="0" y="0"/>
                      <a:ext cx="1568450" cy="1126490"/>
                    </a:xfrm>
                    <a:prstGeom prst="rect">
                      <a:avLst/>
                    </a:prstGeom>
                  </pic:spPr>
                </pic:pic>
              </a:graphicData>
            </a:graphic>
          </wp:anchor>
        </w:drawing>
      </w:r>
    </w:p>
    <w:p>
      <w:pPr>
        <w:numPr>
          <w:ilvl w:val="0"/>
          <w:numId w:val="0"/>
        </w:numPr>
        <w:rPr>
          <w:rFonts w:hint="default"/>
          <w:b/>
          <w:bCs/>
          <w:lang w:val="en-US" w:eastAsia="zh-CN"/>
        </w:rPr>
      </w:pPr>
      <w:r>
        <w:rPr>
          <w:rFonts w:hint="eastAsia"/>
          <w:b/>
          <w:bCs/>
          <w:lang w:val="en-US" w:eastAsia="zh-CN"/>
        </w:rPr>
        <w:t>3）</w:t>
      </w:r>
      <w:r>
        <w:rPr>
          <w:rFonts w:hint="default"/>
          <w:b/>
          <w:bCs/>
          <w:lang w:val="en-US" w:eastAsia="zh-CN"/>
        </w:rPr>
        <w:t>用户校正操作</w:t>
      </w:r>
    </w:p>
    <w:p>
      <w:pPr>
        <w:numPr>
          <w:ilvl w:val="0"/>
          <w:numId w:val="0"/>
        </w:numPr>
        <w:rPr>
          <w:rFonts w:hint="default"/>
          <w:lang w:val="en-US" w:eastAsia="zh-CN"/>
        </w:rPr>
      </w:pPr>
      <w:r>
        <w:rPr>
          <w:rFonts w:hint="default"/>
          <w:lang w:val="en-US" w:eastAsia="zh-CN"/>
        </w:rPr>
        <w:t>用户设置校准模式2个功能介绍：</w:t>
      </w:r>
    </w:p>
    <w:tbl>
      <w:tblPr>
        <w:tblStyle w:val="3"/>
        <w:tblpPr w:leftFromText="180" w:rightFromText="180" w:vertAnchor="text" w:horzAnchor="page" w:tblpX="1905" w:tblpY="66"/>
        <w:tblOverlap w:val="never"/>
        <w:tblW w:w="5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179" w:type="dxa"/>
            <w:vAlign w:val="center"/>
          </w:tcPr>
          <w:p>
            <w:pPr>
              <w:numPr>
                <w:ilvl w:val="0"/>
                <w:numId w:val="0"/>
              </w:numPr>
              <w:jc w:val="center"/>
              <w:rPr>
                <w:rFonts w:hint="default"/>
                <w:vertAlign w:val="baseline"/>
                <w:lang w:val="en-US" w:eastAsia="zh-CN"/>
              </w:rPr>
            </w:pPr>
            <w:r>
              <w:rPr>
                <w:rFonts w:hint="eastAsia"/>
                <w:vertAlign w:val="baseline"/>
                <w:lang w:val="en-US" w:eastAsia="zh-CN"/>
              </w:rPr>
              <w:t>低点标定</w:t>
            </w:r>
          </w:p>
        </w:tc>
        <w:tc>
          <w:tcPr>
            <w:tcW w:w="4110" w:type="dxa"/>
            <w:vAlign w:val="center"/>
          </w:tcPr>
          <w:p>
            <w:pPr>
              <w:numPr>
                <w:ilvl w:val="0"/>
                <w:numId w:val="0"/>
              </w:numPr>
              <w:jc w:val="both"/>
              <w:rPr>
                <w:rFonts w:hint="default"/>
                <w:vertAlign w:val="baseline"/>
                <w:lang w:val="en-US" w:eastAsia="zh-CN"/>
              </w:rPr>
            </w:pPr>
            <w:r>
              <w:rPr>
                <w:rFonts w:hint="default"/>
                <w:vertAlign w:val="baseline"/>
                <w:lang w:val="en-US" w:eastAsia="zh-CN"/>
              </w:rPr>
              <w:t>选择”LoPo”按确认键进入，输入低点数</w:t>
            </w:r>
          </w:p>
          <w:p>
            <w:pPr>
              <w:numPr>
                <w:ilvl w:val="0"/>
                <w:numId w:val="0"/>
              </w:numPr>
              <w:jc w:val="both"/>
              <w:rPr>
                <w:rFonts w:hint="default"/>
                <w:vertAlign w:val="baseline"/>
                <w:lang w:val="en-US" w:eastAsia="zh-CN"/>
              </w:rPr>
            </w:pPr>
            <w:r>
              <w:rPr>
                <w:rFonts w:hint="default"/>
                <w:vertAlign w:val="baseline"/>
                <w:lang w:val="en-US" w:eastAsia="zh-CN"/>
              </w:rPr>
              <w:t>值（在红外遥控器上点击想设置的数字），</w:t>
            </w:r>
          </w:p>
          <w:p>
            <w:pPr>
              <w:numPr>
                <w:ilvl w:val="0"/>
                <w:numId w:val="0"/>
              </w:numPr>
              <w:jc w:val="both"/>
              <w:rPr>
                <w:rFonts w:hint="default"/>
                <w:vertAlign w:val="baseline"/>
                <w:lang w:val="en-US" w:eastAsia="zh-CN"/>
              </w:rPr>
            </w:pPr>
            <w:r>
              <w:rPr>
                <w:rFonts w:hint="default"/>
                <w:vertAlign w:val="baseline"/>
                <w:lang w:val="en-US" w:eastAsia="zh-CN"/>
              </w:rPr>
              <w:t xml:space="preserve"> 再按确认键确认修改后退出低点标定；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179" w:type="dxa"/>
            <w:vAlign w:val="center"/>
          </w:tcPr>
          <w:p>
            <w:pPr>
              <w:numPr>
                <w:ilvl w:val="0"/>
                <w:numId w:val="0"/>
              </w:numPr>
              <w:jc w:val="center"/>
              <w:rPr>
                <w:rFonts w:hint="default"/>
                <w:vertAlign w:val="baseline"/>
                <w:lang w:val="en-US" w:eastAsia="zh-CN"/>
              </w:rPr>
            </w:pPr>
            <w:r>
              <w:rPr>
                <w:rFonts w:hint="eastAsia"/>
                <w:vertAlign w:val="baseline"/>
                <w:lang w:val="en-US" w:eastAsia="zh-CN"/>
              </w:rPr>
              <w:t>高点标定</w:t>
            </w:r>
          </w:p>
        </w:tc>
        <w:tc>
          <w:tcPr>
            <w:tcW w:w="4110" w:type="dxa"/>
            <w:vAlign w:val="center"/>
          </w:tcPr>
          <w:p>
            <w:pPr>
              <w:numPr>
                <w:ilvl w:val="0"/>
                <w:numId w:val="0"/>
              </w:numPr>
              <w:jc w:val="both"/>
              <w:rPr>
                <w:rFonts w:hint="default"/>
                <w:vertAlign w:val="baseline"/>
                <w:lang w:val="en-US" w:eastAsia="zh-CN"/>
              </w:rPr>
            </w:pPr>
            <w:r>
              <w:rPr>
                <w:rFonts w:hint="default"/>
                <w:vertAlign w:val="baseline"/>
                <w:lang w:val="en-US" w:eastAsia="zh-CN"/>
              </w:rPr>
              <w:t>选择“HiPo”按确认键进入，输入高点数</w:t>
            </w:r>
          </w:p>
          <w:p>
            <w:pPr>
              <w:numPr>
                <w:ilvl w:val="0"/>
                <w:numId w:val="0"/>
              </w:numPr>
              <w:jc w:val="both"/>
              <w:rPr>
                <w:rFonts w:hint="default"/>
                <w:vertAlign w:val="baseline"/>
                <w:lang w:val="en-US" w:eastAsia="zh-CN"/>
              </w:rPr>
            </w:pPr>
            <w:r>
              <w:rPr>
                <w:rFonts w:hint="default"/>
                <w:vertAlign w:val="baseline"/>
                <w:lang w:val="en-US" w:eastAsia="zh-CN"/>
              </w:rPr>
              <w:t>值（在红外遥控器上点击想设置的数字），</w:t>
            </w:r>
          </w:p>
          <w:p>
            <w:pPr>
              <w:numPr>
                <w:ilvl w:val="0"/>
                <w:numId w:val="0"/>
              </w:numPr>
              <w:jc w:val="both"/>
              <w:rPr>
                <w:rFonts w:hint="default"/>
                <w:vertAlign w:val="baseline"/>
                <w:lang w:val="en-US" w:eastAsia="zh-CN"/>
              </w:rPr>
            </w:pPr>
            <w:r>
              <w:rPr>
                <w:rFonts w:hint="default"/>
                <w:vertAlign w:val="baseline"/>
                <w:lang w:val="en-US" w:eastAsia="zh-CN"/>
              </w:rPr>
              <w:t>输入高点值后按确认键退出高点标定；</w:t>
            </w:r>
          </w:p>
        </w:tc>
      </w:tr>
    </w:tbl>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r>
        <w:rPr>
          <w:rFonts w:hint="default"/>
          <w:lang w:val="en-US" w:eastAsia="zh-CN"/>
        </w:rPr>
        <w:t>修改好数值后，选择“Calibration”再按确认键完成标定，系统直接进入用户两点标定模式</w:t>
      </w:r>
    </w:p>
    <w:p>
      <w:pPr>
        <w:numPr>
          <w:ilvl w:val="0"/>
          <w:numId w:val="0"/>
        </w:numPr>
        <w:rPr>
          <w:rFonts w:hint="default"/>
          <w:lang w:val="en-US" w:eastAsia="zh-CN"/>
        </w:rPr>
      </w:pPr>
    </w:p>
    <w:p>
      <w:pPr>
        <w:numPr>
          <w:ilvl w:val="0"/>
          <w:numId w:val="0"/>
        </w:numPr>
        <w:rPr>
          <w:rFonts w:hint="default"/>
          <w:b/>
          <w:bCs/>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3757295</wp:posOffset>
            </wp:positionH>
            <wp:positionV relativeFrom="paragraph">
              <wp:posOffset>174625</wp:posOffset>
            </wp:positionV>
            <wp:extent cx="1590675" cy="1066800"/>
            <wp:effectExtent l="0" t="0" r="9525" b="0"/>
            <wp:wrapNone/>
            <wp:docPr id="10" name="图片 10" descr="1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2.13"/>
                    <pic:cNvPicPr>
                      <a:picLocks noChangeAspect="1"/>
                    </pic:cNvPicPr>
                  </pic:nvPicPr>
                  <pic:blipFill>
                    <a:blip r:embed="rId10"/>
                    <a:srcRect l="34033" t="61833" r="53823" b="26583"/>
                    <a:stretch>
                      <a:fillRect/>
                    </a:stretch>
                  </pic:blipFill>
                  <pic:spPr>
                    <a:xfrm>
                      <a:off x="0" y="0"/>
                      <a:ext cx="1590675" cy="1066800"/>
                    </a:xfrm>
                    <a:prstGeom prst="rect">
                      <a:avLst/>
                    </a:prstGeom>
                  </pic:spPr>
                </pic:pic>
              </a:graphicData>
            </a:graphic>
          </wp:anchor>
        </w:drawing>
      </w:r>
    </w:p>
    <w:p>
      <w:pPr>
        <w:numPr>
          <w:ilvl w:val="0"/>
          <w:numId w:val="0"/>
        </w:numPr>
        <w:rPr>
          <w:rFonts w:hint="default"/>
          <w:b/>
          <w:bCs/>
          <w:lang w:val="en-US" w:eastAsia="zh-CN"/>
        </w:rPr>
      </w:pPr>
    </w:p>
    <w:p>
      <w:pPr>
        <w:numPr>
          <w:ilvl w:val="0"/>
          <w:numId w:val="0"/>
        </w:numPr>
        <w:rPr>
          <w:rFonts w:hint="default"/>
          <w:b/>
          <w:bCs/>
          <w:lang w:val="en-US" w:eastAsia="zh-CN"/>
        </w:rPr>
      </w:pPr>
      <w:r>
        <w:rPr>
          <w:rFonts w:hint="default"/>
          <w:b/>
          <w:bCs/>
          <w:lang w:val="en-US" w:eastAsia="zh-CN"/>
        </w:rPr>
        <w:t>4</w:t>
      </w:r>
      <w:r>
        <w:rPr>
          <w:rFonts w:hint="eastAsia"/>
          <w:b/>
          <w:bCs/>
          <w:lang w:val="en-US" w:eastAsia="zh-CN"/>
        </w:rPr>
        <w:t>）</w:t>
      </w:r>
      <w:r>
        <w:rPr>
          <w:rFonts w:hint="default"/>
          <w:b/>
          <w:bCs/>
          <w:lang w:val="en-US" w:eastAsia="zh-CN"/>
        </w:rPr>
        <w:t>恢复出厂操作</w:t>
      </w:r>
    </w:p>
    <w:p>
      <w:pPr>
        <w:numPr>
          <w:ilvl w:val="0"/>
          <w:numId w:val="0"/>
        </w:numPr>
        <w:rPr>
          <w:rFonts w:hint="default"/>
          <w:lang w:val="en-US" w:eastAsia="zh-CN"/>
        </w:rPr>
      </w:pPr>
      <w:r>
        <w:rPr>
          <w:rFonts w:hint="default"/>
          <w:lang w:val="en-US" w:eastAsia="zh-CN"/>
        </w:rPr>
        <w:t>如果用户想恢复出厂，按遥控器“恢复出厂”键，进入界面</w:t>
      </w:r>
    </w:p>
    <w:p>
      <w:pPr>
        <w:numPr>
          <w:ilvl w:val="0"/>
          <w:numId w:val="0"/>
        </w:numPr>
        <w:rPr>
          <w:rFonts w:hint="default"/>
          <w:lang w:val="en-US" w:eastAsia="zh-CN"/>
        </w:rPr>
      </w:pPr>
      <w:r>
        <w:rPr>
          <w:rFonts w:hint="default"/>
          <w:lang w:val="en-US" w:eastAsia="zh-CN"/>
        </w:rPr>
        <w:t>，再按遥控器“选择”键选择“YES“再按遥控器“确认”键，完</w:t>
      </w:r>
    </w:p>
    <w:p>
      <w:pPr>
        <w:numPr>
          <w:ilvl w:val="0"/>
          <w:numId w:val="0"/>
        </w:numPr>
        <w:rPr>
          <w:rFonts w:hint="default"/>
          <w:lang w:val="en-US" w:eastAsia="zh-CN"/>
        </w:rPr>
      </w:pPr>
      <w:r>
        <w:rPr>
          <w:rFonts w:hint="default"/>
          <w:lang w:val="en-US" w:eastAsia="zh-CN"/>
        </w:rPr>
        <w:t>成恢复出厂设置并退出返回主界面。</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3752850</wp:posOffset>
            </wp:positionH>
            <wp:positionV relativeFrom="paragraph">
              <wp:posOffset>49530</wp:posOffset>
            </wp:positionV>
            <wp:extent cx="1580515" cy="1054735"/>
            <wp:effectExtent l="0" t="0" r="635" b="12065"/>
            <wp:wrapNone/>
            <wp:docPr id="11" name="图片 11" descr="1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2.13"/>
                    <pic:cNvPicPr>
                      <a:picLocks noChangeAspect="1"/>
                    </pic:cNvPicPr>
                  </pic:nvPicPr>
                  <pic:blipFill>
                    <a:blip r:embed="rId10"/>
                    <a:srcRect l="33852" t="80333" r="54004" b="8135"/>
                    <a:stretch>
                      <a:fillRect/>
                    </a:stretch>
                  </pic:blipFill>
                  <pic:spPr>
                    <a:xfrm>
                      <a:off x="0" y="0"/>
                      <a:ext cx="1580515" cy="1054735"/>
                    </a:xfrm>
                    <a:prstGeom prst="rect">
                      <a:avLst/>
                    </a:prstGeom>
                  </pic:spPr>
                </pic:pic>
              </a:graphicData>
            </a:graphic>
          </wp:anchor>
        </w:drawing>
      </w:r>
    </w:p>
    <w:p>
      <w:pPr>
        <w:numPr>
          <w:ilvl w:val="0"/>
          <w:numId w:val="0"/>
        </w:numPr>
        <w:rPr>
          <w:rFonts w:hint="default"/>
          <w:b/>
          <w:bCs/>
          <w:lang w:val="en-US" w:eastAsia="zh-CN"/>
        </w:rPr>
      </w:pPr>
      <w:r>
        <w:rPr>
          <w:rFonts w:hint="default"/>
          <w:b/>
          <w:bCs/>
          <w:lang w:val="en-US" w:eastAsia="zh-CN"/>
        </w:rPr>
        <w:t>5</w:t>
      </w:r>
      <w:r>
        <w:rPr>
          <w:rFonts w:hint="eastAsia"/>
          <w:b/>
          <w:bCs/>
          <w:lang w:val="en-US" w:eastAsia="zh-CN"/>
        </w:rPr>
        <w:t>）</w:t>
      </w:r>
      <w:r>
        <w:rPr>
          <w:rFonts w:hint="default"/>
          <w:b/>
          <w:bCs/>
          <w:lang w:val="en-US" w:eastAsia="zh-CN"/>
        </w:rPr>
        <w:t>地址设置</w:t>
      </w:r>
    </w:p>
    <w:p>
      <w:pPr>
        <w:numPr>
          <w:ilvl w:val="0"/>
          <w:numId w:val="0"/>
        </w:numPr>
        <w:rPr>
          <w:rFonts w:hint="default"/>
          <w:lang w:val="en-US" w:eastAsia="zh-CN"/>
        </w:rPr>
      </w:pPr>
      <w:r>
        <w:rPr>
          <w:rFonts w:hint="default"/>
          <w:lang w:val="en-US" w:eastAsia="zh-CN"/>
        </w:rPr>
        <w:t>如果用户想重新设置地址，按遥控器“地址”键，进入界面</w:t>
      </w:r>
    </w:p>
    <w:p>
      <w:pPr>
        <w:numPr>
          <w:ilvl w:val="0"/>
          <w:numId w:val="0"/>
        </w:numPr>
        <w:rPr>
          <w:rFonts w:hint="default"/>
          <w:lang w:val="en-US" w:eastAsia="zh-CN"/>
        </w:rPr>
      </w:pPr>
      <w:r>
        <w:rPr>
          <w:rFonts w:hint="default"/>
          <w:lang w:val="en-US" w:eastAsia="zh-CN"/>
        </w:rPr>
        <w:t>，在红外遥控器上点击想设置的地址数字然后按遥控器</w:t>
      </w:r>
    </w:p>
    <w:p>
      <w:pPr>
        <w:numPr>
          <w:ilvl w:val="0"/>
          <w:numId w:val="0"/>
        </w:numPr>
        <w:rPr>
          <w:rFonts w:hint="default"/>
          <w:lang w:val="en-US" w:eastAsia="zh-CN"/>
        </w:rPr>
      </w:pPr>
      <w:r>
        <w:rPr>
          <w:rFonts w:hint="default"/>
          <w:lang w:val="en-US" w:eastAsia="zh-CN"/>
        </w:rPr>
        <w:t>“确认”键，确认修改地址，完成设置并退出返回主界面</w:t>
      </w:r>
      <w:r>
        <w:rPr>
          <w:rFonts w:hint="eastAsia"/>
          <w:lang w:val="en-US" w:eastAsia="zh-CN"/>
        </w:rPr>
        <w:t>。</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ind w:leftChars="0"/>
        <w:rPr>
          <w:rFonts w:hint="default"/>
          <w:b/>
          <w:bCs/>
          <w:sz w:val="24"/>
          <w:szCs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-24765</wp:posOffset>
                </wp:positionH>
                <wp:positionV relativeFrom="paragraph">
                  <wp:posOffset>109220</wp:posOffset>
                </wp:positionV>
                <wp:extent cx="5305425" cy="76200"/>
                <wp:effectExtent l="6350" t="6350" r="22225" b="12700"/>
                <wp:wrapNone/>
                <wp:docPr id="13" name="矩形 13"/>
                <wp:cNvGraphicFramePr/>
                <a:graphic xmlns:a="http://schemas.openxmlformats.org/drawingml/2006/main">
                  <a:graphicData uri="http://schemas.microsoft.com/office/word/2010/wordprocessingShape">
                    <wps:wsp>
                      <wps:cNvSpPr/>
                      <wps:spPr>
                        <a:xfrm>
                          <a:off x="1118235" y="6335395"/>
                          <a:ext cx="5305425" cy="762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8.6pt;height:6pt;width:417.75pt;z-index:251662336;v-text-anchor:middle;mso-width-relative:page;mso-height-relative:page;" fillcolor="#000000 [3200]" filled="t" stroked="t" coordsize="21600,21600" o:gfxdata="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yiDIPZAAAACAEAAA8AAAAAAAAAAQAgAAAAIgAAAGRycy9kb3ducmV2Lnht&#10;bFBLAQIUABQAAAAIAIdO4kCTlZaQagIAANQEAAAOAAAAAAAAAAEAIAAAACgBAABkcnMvZTJvRG9j&#10;LnhtbFBLBQYAAAAABgAGAFkBAAAEBgAAAAA=&#10;">
                <v:fill on="t" focussize="0,0"/>
                <v:stroke weight="1pt" color="#000000 [3200]" miterlimit="8" joinstyle="miter"/>
                <v:imagedata o:title=""/>
                <o:lock v:ext="edit" aspectratio="f"/>
                <v:textbox>
                  <w:txbxContent>
                    <w:p>
                      <w:pPr>
                        <w:jc w:val="center"/>
                      </w:pPr>
                    </w:p>
                  </w:txbxContent>
                </v:textbox>
              </v:rect>
            </w:pict>
          </mc:Fallback>
        </mc:AlternateContent>
      </w:r>
    </w:p>
    <w:p>
      <w:pPr>
        <w:numPr>
          <w:ilvl w:val="0"/>
          <w:numId w:val="0"/>
        </w:numPr>
        <w:ind w:leftChars="0"/>
        <w:rPr>
          <w:rFonts w:hint="default"/>
          <w:b/>
          <w:bCs/>
          <w:sz w:val="24"/>
          <w:szCs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-24765</wp:posOffset>
                </wp:positionH>
                <wp:positionV relativeFrom="paragraph">
                  <wp:posOffset>92710</wp:posOffset>
                </wp:positionV>
                <wp:extent cx="5286375" cy="0"/>
                <wp:effectExtent l="0" t="0" r="0" b="0"/>
                <wp:wrapNone/>
                <wp:docPr id="14" name="直接连接符 14"/>
                <wp:cNvGraphicFramePr/>
                <a:graphic xmlns:a="http://schemas.openxmlformats.org/drawingml/2006/main">
                  <a:graphicData uri="http://schemas.microsoft.com/office/word/2010/wordprocessingShape">
                    <wps:wsp>
                      <wps:cNvCnPr/>
                      <wps:spPr>
                        <a:xfrm>
                          <a:off x="1118235" y="6554470"/>
                          <a:ext cx="528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5pt;margin-top:7.3pt;height:0pt;width:416.25pt;z-index:251663360;mso-width-relative:page;mso-height-relative:page;" filled="f" stroked="t" coordsize="21600,21600" o:gfxdata="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gD2w9UAAAAIAQAADwAAAAAAAAABACAAAAAi&#10;AAAAZHJzL2Rvd25yZXYueG1sUEsBAhQAFAAAAAgAh07iQKfdYm3UAQAAcQMAAA4AAAAAAAAAAQAg&#10;AAAAJAEAAGRycy9lMm9Eb2MueG1sUEsFBgAAAAAGAAYAWQEAAGoFAAAAAA==&#10;">
                <v:fill on="f" focussize="0,0"/>
                <v:stroke weight="0.5pt" color="#000000 [3200]" miterlimit="8" joinstyle="miter"/>
                <v:imagedata o:title=""/>
                <o:lock v:ext="edit" aspectratio="f"/>
              </v:line>
            </w:pict>
          </mc:Fallback>
        </mc:AlternateContent>
      </w:r>
    </w:p>
    <w:p>
      <w:pPr>
        <w:numPr>
          <w:ilvl w:val="0"/>
          <w:numId w:val="0"/>
        </w:numPr>
        <w:ind w:leftChars="0"/>
        <w:rPr>
          <w:rFonts w:hint="default"/>
          <w:b/>
          <w:bCs/>
          <w:sz w:val="24"/>
          <w:szCs w:val="24"/>
          <w:lang w:val="en-US" w:eastAsia="zh-CN"/>
        </w:rPr>
      </w:pPr>
    </w:p>
    <w:p>
      <w:pPr>
        <w:numPr>
          <w:ilvl w:val="0"/>
          <w:numId w:val="0"/>
        </w:numPr>
        <w:ind w:leftChars="0"/>
        <w:rPr>
          <w:rFonts w:hint="default"/>
          <w:b/>
          <w:bCs/>
          <w:sz w:val="24"/>
          <w:szCs w:val="24"/>
          <w:lang w:val="en-US" w:eastAsia="zh-CN"/>
        </w:rPr>
      </w:pPr>
    </w:p>
    <w:p>
      <w:pPr>
        <w:numPr>
          <w:ilvl w:val="0"/>
          <w:numId w:val="0"/>
        </w:numPr>
        <w:ind w:leftChars="0"/>
        <w:rPr>
          <w:rFonts w:hint="default"/>
          <w:b/>
          <w:bCs/>
          <w:sz w:val="24"/>
          <w:szCs w:val="24"/>
          <w:lang w:val="en-US" w:eastAsia="zh-CN"/>
        </w:rPr>
      </w:pPr>
      <w:r>
        <w:rPr>
          <w:rFonts w:hint="default"/>
          <w:b/>
          <w:bCs/>
          <w:sz w:val="24"/>
          <w:szCs w:val="24"/>
          <w:lang w:val="en-US" w:eastAsia="zh-CN"/>
        </w:rPr>
        <w:t>设备维护</w:t>
      </w:r>
    </w:p>
    <w:p>
      <w:pPr>
        <w:numPr>
          <w:ilvl w:val="0"/>
          <w:numId w:val="0"/>
        </w:numPr>
        <w:rPr>
          <w:rFonts w:hint="default"/>
          <w:lang w:val="en-US" w:eastAsia="zh-CN"/>
        </w:rPr>
      </w:pPr>
      <w:r>
        <w:rPr>
          <w:rFonts w:hint="default"/>
          <w:lang w:val="en-US" w:eastAsia="zh-CN"/>
        </w:rPr>
        <w:t>变送器在正常的使用中，红外传感器的有效使用寿命为10年，电化学和催化燃烧传感器的使用寿命为</w:t>
      </w:r>
      <w:r>
        <w:rPr>
          <w:rFonts w:hint="eastAsia"/>
          <w:lang w:val="en-US" w:eastAsia="zh-CN"/>
        </w:rPr>
        <w:t>1</w:t>
      </w:r>
      <w:r>
        <w:rPr>
          <w:rFonts w:hint="default"/>
          <w:lang w:val="en-US" w:eastAsia="zh-CN"/>
        </w:rPr>
        <w:t>-3年。在有效使用寿命期内，每半年要定期对传感器进行一次灵敏度检查，以保证气体监测准确有效。超过有效使用期的和有故障的传感器必须进行更换。在传感器出现故障后，请将仪器寄回厂家更换。</w:t>
      </w:r>
    </w:p>
    <w:p>
      <w:pPr>
        <w:numPr>
          <w:ilvl w:val="0"/>
          <w:numId w:val="0"/>
        </w:numPr>
        <w:rPr>
          <w:rFonts w:hint="default"/>
          <w:lang w:val="en-US" w:eastAsia="zh-CN"/>
        </w:rPr>
      </w:pPr>
    </w:p>
    <w:p>
      <w:pPr>
        <w:numPr>
          <w:ilvl w:val="0"/>
          <w:numId w:val="0"/>
        </w:numPr>
        <w:ind w:leftChars="0"/>
        <w:rPr>
          <w:rFonts w:hint="default"/>
          <w:b/>
          <w:bCs/>
          <w:sz w:val="24"/>
          <w:szCs w:val="24"/>
          <w:lang w:val="en-US" w:eastAsia="zh-CN"/>
        </w:rPr>
      </w:pPr>
      <w:r>
        <w:rPr>
          <w:rFonts w:hint="default"/>
          <w:b/>
          <w:bCs/>
          <w:sz w:val="24"/>
          <w:szCs w:val="24"/>
          <w:lang w:val="en-US" w:eastAsia="zh-CN"/>
        </w:rPr>
        <w:t>说明</w:t>
      </w:r>
    </w:p>
    <w:p>
      <w:pPr>
        <w:numPr>
          <w:ilvl w:val="0"/>
          <w:numId w:val="0"/>
        </w:numPr>
        <w:rPr>
          <w:rFonts w:hint="default"/>
          <w:lang w:val="en-US" w:eastAsia="zh-CN"/>
        </w:rPr>
      </w:pPr>
      <w:r>
        <w:rPr>
          <w:rFonts w:hint="default"/>
          <w:lang w:val="en-US" w:eastAsia="zh-CN"/>
        </w:rPr>
        <w:t>1.上电自检、预热：开机自完成自检，部分气体类型开机后需预热，预热时间为120秒以内，然后进入正常工作状态；</w:t>
      </w:r>
    </w:p>
    <w:p>
      <w:pPr>
        <w:numPr>
          <w:ilvl w:val="0"/>
          <w:numId w:val="0"/>
        </w:numPr>
        <w:rPr>
          <w:rFonts w:hint="default"/>
          <w:lang w:val="en-US" w:eastAsia="zh-CN"/>
        </w:rPr>
      </w:pPr>
      <w:r>
        <w:rPr>
          <w:rFonts w:hint="default"/>
          <w:lang w:val="en-US" w:eastAsia="zh-CN"/>
        </w:rPr>
        <w:t>2.灵敏度：当气体检测仪受到毒气或其它抑制剂影响时（如硅树脂、硫、铅或卤代碳氢化合物等），灵敏度会降低</w:t>
      </w:r>
    </w:p>
    <w:p>
      <w:pPr>
        <w:numPr>
          <w:ilvl w:val="0"/>
          <w:numId w:val="0"/>
        </w:numPr>
        <w:rPr>
          <w:rFonts w:hint="default"/>
          <w:lang w:val="en-US" w:eastAsia="zh-CN"/>
        </w:rPr>
      </w:pPr>
      <w:r>
        <w:rPr>
          <w:rFonts w:hint="default"/>
          <w:lang w:val="en-US" w:eastAsia="zh-CN"/>
        </w:rPr>
        <w:t>3.寿命：使用环境决定，当无法检测到准确浓度值时传感器可能衰减、失效，应及时更换传感器。</w:t>
      </w:r>
    </w:p>
    <w:p>
      <w:pPr>
        <w:numPr>
          <w:ilvl w:val="0"/>
          <w:numId w:val="0"/>
        </w:numPr>
        <w:rPr>
          <w:rFonts w:hint="default"/>
          <w:lang w:val="en-US" w:eastAsia="zh-CN"/>
        </w:rPr>
      </w:pPr>
    </w:p>
    <w:p>
      <w:pPr>
        <w:numPr>
          <w:ilvl w:val="0"/>
          <w:numId w:val="0"/>
        </w:numPr>
        <w:ind w:leftChars="0"/>
        <w:rPr>
          <w:rFonts w:hint="default"/>
          <w:b/>
          <w:bCs/>
          <w:sz w:val="24"/>
          <w:szCs w:val="24"/>
          <w:lang w:val="en-US" w:eastAsia="zh-CN"/>
        </w:rPr>
      </w:pPr>
      <w:r>
        <w:rPr>
          <w:rFonts w:hint="default"/>
          <w:b/>
          <w:bCs/>
          <w:sz w:val="24"/>
          <w:szCs w:val="24"/>
          <w:lang w:val="en-US" w:eastAsia="zh-CN"/>
        </w:rPr>
        <w:t>注意事项</w:t>
      </w:r>
    </w:p>
    <w:p>
      <w:pPr>
        <w:numPr>
          <w:ilvl w:val="0"/>
          <w:numId w:val="0"/>
        </w:numPr>
        <w:rPr>
          <w:rFonts w:hint="default"/>
          <w:lang w:val="en-US" w:eastAsia="zh-CN"/>
        </w:rPr>
      </w:pPr>
      <w:r>
        <w:rPr>
          <w:rFonts w:hint="default"/>
          <w:lang w:val="en-US" w:eastAsia="zh-CN"/>
        </w:rPr>
        <w:t>1）严禁在现场带电开盖操作</w:t>
      </w:r>
    </w:p>
    <w:p>
      <w:pPr>
        <w:numPr>
          <w:ilvl w:val="0"/>
          <w:numId w:val="0"/>
        </w:numPr>
        <w:rPr>
          <w:rFonts w:hint="default"/>
          <w:lang w:val="en-US" w:eastAsia="zh-CN"/>
        </w:rPr>
      </w:pPr>
      <w:r>
        <w:rPr>
          <w:rFonts w:hint="default"/>
          <w:lang w:val="en-US" w:eastAsia="zh-CN"/>
        </w:rPr>
        <w:t>2）严禁带电更换传感器</w:t>
      </w:r>
    </w:p>
    <w:p>
      <w:pPr>
        <w:numPr>
          <w:ilvl w:val="0"/>
          <w:numId w:val="0"/>
        </w:numPr>
        <w:rPr>
          <w:rFonts w:hint="default"/>
          <w:lang w:val="en-US" w:eastAsia="zh-CN"/>
        </w:rPr>
      </w:pPr>
      <w:r>
        <w:rPr>
          <w:rFonts w:hint="default"/>
          <w:lang w:val="en-US" w:eastAsia="zh-CN"/>
        </w:rPr>
        <w:t>3）变送器的标定检查要定期进行</w:t>
      </w:r>
    </w:p>
    <w:p>
      <w:pPr>
        <w:numPr>
          <w:ilvl w:val="0"/>
          <w:numId w:val="0"/>
        </w:numPr>
        <w:rPr>
          <w:rFonts w:hint="default"/>
          <w:lang w:val="en-US" w:eastAsia="zh-CN"/>
        </w:rPr>
      </w:pPr>
      <w:r>
        <w:rPr>
          <w:rFonts w:hint="default"/>
          <w:lang w:val="en-US" w:eastAsia="zh-CN"/>
        </w:rPr>
        <w:t>4）安装、调试、设置等操作必须由专业人员进行</w:t>
      </w:r>
    </w:p>
    <w:p>
      <w:pPr>
        <w:numPr>
          <w:ilvl w:val="0"/>
          <w:numId w:val="0"/>
        </w:numPr>
        <w:rPr>
          <w:rFonts w:hint="default"/>
          <w:lang w:val="en-US" w:eastAsia="zh-CN"/>
        </w:rPr>
      </w:pPr>
      <w:r>
        <w:rPr>
          <w:rFonts w:hint="default"/>
          <w:lang w:val="en-US" w:eastAsia="zh-CN"/>
        </w:rPr>
        <w:t>5）超过有效使用期和有故障的传感器要及时更换</w:t>
      </w:r>
    </w:p>
    <w:p>
      <w:pPr>
        <w:numPr>
          <w:ilvl w:val="0"/>
          <w:numId w:val="0"/>
        </w:numPr>
        <w:rPr>
          <w:rFonts w:hint="default"/>
          <w:lang w:val="en-US" w:eastAsia="zh-CN"/>
        </w:rPr>
      </w:pPr>
      <w:r>
        <w:rPr>
          <w:rFonts w:hint="default"/>
          <w:lang w:val="en-US" w:eastAsia="zh-CN"/>
        </w:rPr>
        <w:t>6）避免用高于测量量程的气体冲击传感器</w:t>
      </w:r>
      <w:r>
        <w:rPr>
          <w:rFonts w:hint="default"/>
          <w:lang w:val="en-US" w:eastAsia="zh-CN"/>
        </w:rPr>
        <w:tab/>
      </w:r>
    </w:p>
    <w:p>
      <w:pPr>
        <w:numPr>
          <w:ilvl w:val="0"/>
          <w:numId w:val="0"/>
        </w:numPr>
        <w:rPr>
          <w:rFonts w:hint="default"/>
          <w:lang w:val="en-US" w:eastAsia="zh-CN"/>
        </w:rPr>
      </w:pPr>
      <w:r>
        <w:rPr>
          <w:rFonts w:hint="default"/>
          <w:lang w:val="en-US" w:eastAsia="zh-CN"/>
        </w:rPr>
        <w:t>7）检测仪的安装位置请尽量远离大功率设备，如点机，射频设备；</w:t>
      </w:r>
    </w:p>
    <w:p>
      <w:pPr>
        <w:numPr>
          <w:ilvl w:val="0"/>
          <w:numId w:val="0"/>
        </w:numPr>
        <w:rPr>
          <w:rFonts w:hint="default"/>
          <w:lang w:val="en-US" w:eastAsia="zh-CN"/>
        </w:rPr>
      </w:pPr>
      <w:r>
        <w:rPr>
          <w:rFonts w:hint="default"/>
          <w:lang w:val="en-US" w:eastAsia="zh-CN"/>
        </w:rPr>
        <w:t>8）若安装在户外，则应该注意外界因素的影响，如；淋雨或积水</w:t>
      </w:r>
    </w:p>
    <w:p>
      <w:pPr>
        <w:numPr>
          <w:ilvl w:val="0"/>
          <w:numId w:val="0"/>
        </w:numPr>
        <w:rPr>
          <w:rFonts w:hint="default"/>
          <w:lang w:val="en-US" w:eastAsia="zh-CN"/>
        </w:rPr>
      </w:pPr>
      <w:r>
        <w:rPr>
          <w:rFonts w:hint="default"/>
          <w:lang w:val="en-US" w:eastAsia="zh-CN"/>
        </w:rPr>
        <w:t>9）通常应记录检测仪点的安装位置，以及电缆的布线情况，以便维护。</w:t>
      </w:r>
    </w:p>
    <w:p>
      <w:pPr>
        <w:numPr>
          <w:ilvl w:val="0"/>
          <w:numId w:val="0"/>
        </w:numPr>
        <w:ind w:left="420" w:hanging="420" w:hangingChars="200"/>
        <w:rPr>
          <w:rFonts w:hint="default"/>
          <w:lang w:val="en-US" w:eastAsia="zh-CN"/>
        </w:rPr>
      </w:pPr>
      <w:r>
        <w:rPr>
          <w:rFonts w:hint="default"/>
          <w:lang w:val="en-US" w:eastAsia="zh-CN"/>
        </w:rPr>
        <w:t>10）检测仪的电源不要与大功率设备共用，因大功率设备的电源可能对检测仪的正常工作造成影响；</w:t>
      </w:r>
    </w:p>
    <w:p>
      <w:pPr>
        <w:numPr>
          <w:ilvl w:val="0"/>
          <w:numId w:val="0"/>
        </w:numPr>
        <w:rPr>
          <w:rFonts w:hint="default"/>
          <w:lang w:val="en-US" w:eastAsia="zh-CN"/>
        </w:rPr>
      </w:pPr>
    </w:p>
    <w:p>
      <w:pPr>
        <w:numPr>
          <w:ilvl w:val="0"/>
          <w:numId w:val="0"/>
        </w:numPr>
        <w:ind w:leftChars="0"/>
        <w:rPr>
          <w:rFonts w:hint="default"/>
          <w:b/>
          <w:bCs/>
          <w:sz w:val="24"/>
          <w:szCs w:val="24"/>
          <w:lang w:val="en-US" w:eastAsia="zh-CN"/>
        </w:rPr>
      </w:pPr>
      <w:r>
        <w:rPr>
          <w:rFonts w:hint="default"/>
          <w:b/>
          <w:bCs/>
          <w:sz w:val="24"/>
          <w:szCs w:val="24"/>
          <w:lang w:val="en-US" w:eastAsia="zh-CN"/>
        </w:rPr>
        <w:t>警告</w:t>
      </w:r>
    </w:p>
    <w:p>
      <w:pPr>
        <w:numPr>
          <w:ilvl w:val="0"/>
          <w:numId w:val="0"/>
        </w:numPr>
        <w:rPr>
          <w:rFonts w:hint="default"/>
          <w:lang w:val="en-US" w:eastAsia="zh-CN"/>
        </w:rPr>
      </w:pPr>
      <w:r>
        <w:rPr>
          <w:rFonts w:hint="default"/>
          <w:lang w:val="en-US" w:eastAsia="zh-CN"/>
        </w:rPr>
        <w:t>1.为保证检测仪整体合格性，对检测仪的任何操作，必须由受过专门培训的人员来执行；并且要确保遵循了当地的规章制度和现场操作程序；</w:t>
      </w:r>
    </w:p>
    <w:p>
      <w:pPr>
        <w:numPr>
          <w:ilvl w:val="0"/>
          <w:numId w:val="0"/>
        </w:numPr>
        <w:rPr>
          <w:rFonts w:hint="default"/>
          <w:lang w:val="en-US" w:eastAsia="zh-CN"/>
        </w:rPr>
      </w:pPr>
      <w:r>
        <w:rPr>
          <w:rFonts w:hint="default"/>
          <w:lang w:val="en-US" w:eastAsia="zh-CN"/>
        </w:rPr>
        <w:t>2.禁止在潜在危险环境下打开检测仪机壳、替换或更换改装传感器；在检测仪运行期间要保持装配紧密连接，打开检测仪机壳前，必须断开检测仪所有电气线路连接；</w:t>
      </w:r>
    </w:p>
    <w:p>
      <w:pPr>
        <w:numPr>
          <w:ilvl w:val="0"/>
          <w:numId w:val="0"/>
        </w:numPr>
        <w:rPr>
          <w:rFonts w:hint="default"/>
          <w:lang w:val="en-US" w:eastAsia="zh-CN"/>
        </w:rPr>
      </w:pPr>
      <w:r>
        <w:rPr>
          <w:rFonts w:hint="default"/>
          <w:lang w:val="en-US" w:eastAsia="zh-CN"/>
        </w:rPr>
        <w:t>3.为保证漏电安全和避免电磁波干扰，检测仪必须接地，应确保所有的检测仪在控制器或者检测仪的单点星型接地。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383DAA"/>
    <w:multiLevelType w:val="singleLevel"/>
    <w:tmpl w:val="53383DA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CE4180"/>
    <w:rsid w:val="16C469C7"/>
    <w:rsid w:val="1C0D3AB2"/>
    <w:rsid w:val="1F052D6D"/>
    <w:rsid w:val="2DA030CB"/>
    <w:rsid w:val="36E51FCC"/>
    <w:rsid w:val="467273E0"/>
    <w:rsid w:val="663268BF"/>
    <w:rsid w:val="66A02F93"/>
    <w:rsid w:val="70172FB3"/>
    <w:rsid w:val="793904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PC</cp:lastModifiedBy>
  <dcterms:modified xsi:type="dcterms:W3CDTF">2020-08-28T10:16:39Z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