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pPr w:leftFromText="180" w:rightFromText="180" w:vertAnchor="page" w:horzAnchor="page" w:tblpX="443" w:tblpY="1018"/>
        <w:tblOverlap w:val="never"/>
        <w:tblW w:w="113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9"/>
        <w:gridCol w:w="536"/>
        <w:gridCol w:w="739"/>
        <w:gridCol w:w="1201"/>
        <w:gridCol w:w="34"/>
        <w:gridCol w:w="563"/>
        <w:gridCol w:w="1072"/>
        <w:gridCol w:w="506"/>
        <w:gridCol w:w="439"/>
        <w:gridCol w:w="1030"/>
        <w:gridCol w:w="578"/>
        <w:gridCol w:w="685"/>
        <w:gridCol w:w="1868"/>
        <w:gridCol w:w="14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</w:trPr>
        <w:tc>
          <w:tcPr>
            <w:tcW w:w="11365" w:type="dxa"/>
            <w:gridSpan w:val="14"/>
            <w:shd w:val="clear" w:color="auto" w:fill="CBE3FF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交流通断电检测模块 测试报告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1365" w:type="dxa"/>
            <w:gridSpan w:val="14"/>
            <w:shd w:val="clear" w:color="auto" w:fill="E7E6E6" w:themeFill="background2"/>
            <w:vAlign w:val="center"/>
          </w:tcPr>
          <w:p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产品基本信息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1256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产品名称</w:t>
            </w:r>
          </w:p>
        </w:tc>
        <w:tc>
          <w:tcPr>
            <w:tcW w:w="1997" w:type="dxa"/>
            <w:gridSpan w:val="3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智能PDU</w:t>
            </w:r>
          </w:p>
        </w:tc>
        <w:tc>
          <w:tcPr>
            <w:tcW w:w="1643" w:type="dxa"/>
            <w:gridSpan w:val="2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测试人</w:t>
            </w:r>
          </w:p>
        </w:tc>
        <w:tc>
          <w:tcPr>
            <w:tcW w:w="1975" w:type="dxa"/>
            <w:gridSpan w:val="3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玉绍涛</w:t>
            </w:r>
          </w:p>
        </w:tc>
        <w:tc>
          <w:tcPr>
            <w:tcW w:w="4494" w:type="dxa"/>
            <w:gridSpan w:val="4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产品图片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1256" w:type="dxa"/>
            <w:gridSpan w:val="2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产品型号</w:t>
            </w:r>
          </w:p>
        </w:tc>
        <w:tc>
          <w:tcPr>
            <w:tcW w:w="1997" w:type="dxa"/>
            <w:gridSpan w:val="3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OM-SPDU系列</w:t>
            </w:r>
          </w:p>
        </w:tc>
        <w:tc>
          <w:tcPr>
            <w:tcW w:w="1643" w:type="dxa"/>
            <w:gridSpan w:val="2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测试时间</w:t>
            </w:r>
          </w:p>
        </w:tc>
        <w:tc>
          <w:tcPr>
            <w:tcW w:w="1975" w:type="dxa"/>
            <w:gridSpan w:val="3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2025.1.14</w:t>
            </w:r>
          </w:p>
        </w:tc>
        <w:tc>
          <w:tcPr>
            <w:tcW w:w="4494" w:type="dxa"/>
            <w:gridSpan w:val="4"/>
            <w:vMerge w:val="restart"/>
          </w:tcPr>
          <w:p>
            <w:pPr>
              <w:jc w:val="center"/>
              <w:rPr>
                <w:rFonts w:hint="eastAsia"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  <w:lang w:eastAsia="zh-CN"/>
              </w:rPr>
              <w:drawing>
                <wp:inline distT="0" distB="0" distL="114300" distR="114300">
                  <wp:extent cx="2101215" cy="594995"/>
                  <wp:effectExtent l="0" t="0" r="13335" b="14605"/>
                  <wp:docPr id="1" name="图片 1" descr="c7afbd7d98092881c901e89eb3569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7afbd7d98092881c901e89eb3569c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215" cy="59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1256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生产厂家</w:t>
            </w:r>
          </w:p>
        </w:tc>
        <w:tc>
          <w:tcPr>
            <w:tcW w:w="1997" w:type="dxa"/>
            <w:gridSpan w:val="3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子拓</w:t>
            </w:r>
          </w:p>
        </w:tc>
        <w:tc>
          <w:tcPr>
            <w:tcW w:w="1643" w:type="dxa"/>
            <w:gridSpan w:val="2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项目编号</w:t>
            </w:r>
          </w:p>
        </w:tc>
        <w:tc>
          <w:tcPr>
            <w:tcW w:w="1975" w:type="dxa"/>
            <w:gridSpan w:val="3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#6049</w:t>
            </w:r>
          </w:p>
        </w:tc>
        <w:tc>
          <w:tcPr>
            <w:tcW w:w="4494" w:type="dxa"/>
            <w:gridSpan w:val="4"/>
            <w:vMerge w:val="continue"/>
          </w:tcPr>
          <w:p>
            <w:pPr>
              <w:jc w:val="center"/>
              <w:rPr>
                <w:rFonts w:hint="eastAsia" w:ascii="楷体" w:hAnsi="楷体" w:eastAsia="楷体" w:cs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1256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技术手册</w:t>
            </w:r>
          </w:p>
        </w:tc>
        <w:tc>
          <w:tcPr>
            <w:tcW w:w="5615" w:type="dxa"/>
            <w:gridSpan w:val="8"/>
            <w:vMerge w:val="restart"/>
            <w:vAlign w:val="center"/>
          </w:tcPr>
          <w:p>
            <w:pPr>
              <w:jc w:val="left"/>
              <w:rPr>
                <w:rFonts w:hint="eastAsia" w:ascii="楷体" w:hAnsi="楷体" w:eastAsia="楷体" w:cs="楷体"/>
                <w:sz w:val="24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eastAsia="zh-CN"/>
              </w:rPr>
              <w:object>
                <v:shape id="_x0000_i1025" o:spt="75" type="#_x0000_t75" style="height:66pt;width:72.75pt;" o:ole="t" filled="f" o:preferrelative="t" stroked="f" coordsize="21600,21600">
                  <v:path/>
                  <v:fill on="f" focussize="0,0"/>
                  <v:stroke on="f"/>
                  <v:imagedata r:id="rId6" o:title=""/>
                  <o:lock v:ext="edit" aspectratio="t"/>
                  <w10:wrap type="none"/>
                  <w10:anchorlock/>
                </v:shape>
                <o:OLEObject Type="Embed" ProgID="Package" ShapeID="_x0000_i1025" DrawAspect="Icon" ObjectID="_1468075725" r:id="rId5">
                  <o:LockedField>false</o:LockedField>
                </o:OLEObject>
              </w:object>
            </w:r>
            <w:r>
              <w:rPr>
                <w:rFonts w:hint="eastAsia" w:ascii="楷体" w:hAnsi="楷体" w:eastAsia="楷体" w:cs="楷体"/>
                <w:sz w:val="24"/>
                <w:lang w:eastAsia="zh-CN"/>
              </w:rPr>
              <w:object>
                <v:shape id="_x0000_i1026" o:spt="75" type="#_x0000_t75" style="height:66pt;width:72.75pt;" o:ole="t" filled="f" o:preferrelative="t" stroked="f" coordsize="21600,21600">
                  <v:path/>
                  <v:fill on="f" focussize="0,0"/>
                  <v:stroke on="f"/>
                  <v:imagedata r:id="rId8" o:title=""/>
                  <o:lock v:ext="edit" aspectratio="t"/>
                  <w10:wrap type="none"/>
                  <w10:anchorlock/>
                </v:shape>
                <o:OLEObject Type="Embed" ProgID="Excel.Sheet.12" ShapeID="_x0000_i1026" DrawAspect="Icon" ObjectID="_1468075726" r:id="rId7">
                  <o:LockedField>false</o:LockedField>
                </o:OLEObject>
              </w:object>
            </w:r>
          </w:p>
        </w:tc>
        <w:tc>
          <w:tcPr>
            <w:tcW w:w="4494" w:type="dxa"/>
            <w:gridSpan w:val="4"/>
            <w:vMerge w:val="continue"/>
          </w:tcPr>
          <w:p>
            <w:pPr>
              <w:jc w:val="center"/>
              <w:rPr>
                <w:rFonts w:hint="eastAsia" w:ascii="楷体" w:hAnsi="楷体" w:eastAsia="楷体" w:cs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1256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通讯协议</w:t>
            </w:r>
          </w:p>
        </w:tc>
        <w:tc>
          <w:tcPr>
            <w:tcW w:w="5615" w:type="dxa"/>
            <w:gridSpan w:val="8"/>
            <w:vMerge w:val="continue"/>
            <w:vAlign w:val="center"/>
          </w:tcPr>
          <w:p>
            <w:pPr>
              <w:jc w:val="left"/>
              <w:rPr>
                <w:rFonts w:hint="eastAsia" w:ascii="楷体" w:hAnsi="楷体" w:eastAsia="楷体" w:cs="楷体"/>
                <w:sz w:val="24"/>
              </w:rPr>
            </w:pPr>
          </w:p>
        </w:tc>
        <w:tc>
          <w:tcPr>
            <w:tcW w:w="4494" w:type="dxa"/>
            <w:gridSpan w:val="4"/>
            <w:vMerge w:val="continue"/>
          </w:tcPr>
          <w:p>
            <w:pPr>
              <w:jc w:val="center"/>
              <w:rPr>
                <w:rFonts w:hint="eastAsia" w:ascii="楷体" w:hAnsi="楷体" w:eastAsia="楷体" w:cs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256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上位机</w:t>
            </w:r>
          </w:p>
        </w:tc>
        <w:tc>
          <w:tcPr>
            <w:tcW w:w="5615" w:type="dxa"/>
            <w:gridSpan w:val="8"/>
            <w:vAlign w:val="center"/>
          </w:tcPr>
          <w:p>
            <w:pPr>
              <w:jc w:val="left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无</w:t>
            </w:r>
          </w:p>
        </w:tc>
        <w:tc>
          <w:tcPr>
            <w:tcW w:w="4494" w:type="dxa"/>
            <w:gridSpan w:val="4"/>
            <w:vMerge w:val="continue"/>
          </w:tcPr>
          <w:p>
            <w:pPr>
              <w:jc w:val="center"/>
              <w:rPr>
                <w:rFonts w:hint="eastAsia" w:ascii="楷体" w:hAnsi="楷体" w:eastAsia="楷体" w:cs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1365" w:type="dxa"/>
            <w:gridSpan w:val="14"/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产品测试需求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634" w:type="dxa"/>
            <w:vAlign w:val="center"/>
          </w:tcPr>
          <w:p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编号</w:t>
            </w:r>
          </w:p>
        </w:tc>
        <w:tc>
          <w:tcPr>
            <w:tcW w:w="1320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需求要点</w:t>
            </w:r>
          </w:p>
        </w:tc>
        <w:tc>
          <w:tcPr>
            <w:tcW w:w="1201" w:type="dxa"/>
            <w:vAlign w:val="center"/>
          </w:tcPr>
          <w:p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需求分类</w:t>
            </w:r>
          </w:p>
        </w:tc>
        <w:tc>
          <w:tcPr>
            <w:tcW w:w="2622" w:type="dxa"/>
            <w:gridSpan w:val="5"/>
            <w:vAlign w:val="center"/>
          </w:tcPr>
          <w:p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测试方法</w:t>
            </w:r>
          </w:p>
        </w:tc>
        <w:tc>
          <w:tcPr>
            <w:tcW w:w="1609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协助方</w:t>
            </w:r>
          </w:p>
        </w:tc>
        <w:tc>
          <w:tcPr>
            <w:tcW w:w="2554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完成标准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完成时间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9" w:hRule="atLeast"/>
        </w:trPr>
        <w:tc>
          <w:tcPr>
            <w:tcW w:w="634" w:type="dxa"/>
            <w:vAlign w:val="center"/>
          </w:tcPr>
          <w:p>
            <w:pPr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 xml:space="preserve">  1</w:t>
            </w:r>
          </w:p>
        </w:tc>
        <w:tc>
          <w:tcPr>
            <w:tcW w:w="1320" w:type="dxa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采集响应测试</w:t>
            </w:r>
          </w:p>
        </w:tc>
        <w:tc>
          <w:tcPr>
            <w:tcW w:w="1201" w:type="dxa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功能测试</w:t>
            </w:r>
          </w:p>
        </w:tc>
        <w:tc>
          <w:tcPr>
            <w:tcW w:w="2622" w:type="dxa"/>
            <w:gridSpan w:val="5"/>
            <w:vAlign w:val="center"/>
          </w:tcPr>
          <w:p>
            <w:pPr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SNMP通讯采集测试</w:t>
            </w:r>
          </w:p>
          <w:p>
            <w:pPr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</w:p>
          <w:p>
            <w:pPr>
              <w:numPr>
                <w:ilvl w:val="0"/>
                <w:numId w:val="1"/>
              </w:numPr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MIB库（OID）数据采集</w:t>
            </w:r>
          </w:p>
          <w:p>
            <w:pPr>
              <w:numPr>
                <w:ilvl w:val="0"/>
                <w:numId w:val="1"/>
              </w:num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相邻设备指令最小间隔与稳定间隔</w:t>
            </w:r>
          </w:p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批量读取100条OID</w:t>
            </w:r>
          </w:p>
        </w:tc>
        <w:tc>
          <w:tcPr>
            <w:tcW w:w="1609" w:type="dxa"/>
            <w:gridSpan w:val="2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王慧/李夏霞</w:t>
            </w:r>
          </w:p>
        </w:tc>
        <w:tc>
          <w:tcPr>
            <w:tcW w:w="2554" w:type="dxa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/>
              </w:rPr>
              <w:t>响应失败率低于5%（通讯间隔</w:t>
            </w: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</w:rPr>
              <w:t>00ms）</w:t>
            </w:r>
          </w:p>
        </w:tc>
        <w:tc>
          <w:tcPr>
            <w:tcW w:w="1425" w:type="dxa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01/17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634" w:type="dxa"/>
            <w:vAlign w:val="center"/>
          </w:tcPr>
          <w:p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2</w:t>
            </w:r>
          </w:p>
        </w:tc>
        <w:tc>
          <w:tcPr>
            <w:tcW w:w="1320" w:type="dxa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数据误差</w:t>
            </w:r>
          </w:p>
        </w:tc>
        <w:tc>
          <w:tcPr>
            <w:tcW w:w="1201" w:type="dxa"/>
            <w:vAlign w:val="center"/>
          </w:tcPr>
          <w:p>
            <w:pPr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性能测试</w:t>
            </w:r>
          </w:p>
        </w:tc>
        <w:tc>
          <w:tcPr>
            <w:tcW w:w="2622" w:type="dxa"/>
            <w:gridSpan w:val="5"/>
            <w:vAlign w:val="center"/>
          </w:tcPr>
          <w:p>
            <w:pPr>
              <w:numPr>
                <w:ilvl w:val="0"/>
                <w:numId w:val="2"/>
              </w:numPr>
              <w:ind w:left="0" w:leftChars="0" w:firstLine="393" w:firstLineChars="0"/>
              <w:jc w:val="left"/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输入电压与实际电压误差</w:t>
            </w:r>
          </w:p>
          <w:p>
            <w:pPr>
              <w:numPr>
                <w:ilvl w:val="0"/>
                <w:numId w:val="2"/>
              </w:numPr>
              <w:ind w:left="0" w:leftChars="0" w:firstLine="393" w:firstLineChars="0"/>
              <w:jc w:val="left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输出电压与实际电压误差</w:t>
            </w:r>
          </w:p>
        </w:tc>
        <w:tc>
          <w:tcPr>
            <w:tcW w:w="1609" w:type="dxa"/>
            <w:gridSpan w:val="2"/>
            <w:vAlign w:val="center"/>
          </w:tcPr>
          <w:p>
            <w:pPr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王慧/李夏霞</w:t>
            </w:r>
          </w:p>
        </w:tc>
        <w:tc>
          <w:tcPr>
            <w:tcW w:w="2554" w:type="dxa"/>
            <w:gridSpan w:val="2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正常接入后，偏差少于3%</w:t>
            </w:r>
          </w:p>
        </w:tc>
        <w:tc>
          <w:tcPr>
            <w:tcW w:w="1425" w:type="dxa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01/17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634" w:type="dxa"/>
            <w:vAlign w:val="center"/>
          </w:tcPr>
          <w:p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3</w:t>
            </w:r>
          </w:p>
        </w:tc>
        <w:tc>
          <w:tcPr>
            <w:tcW w:w="1320" w:type="dxa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控制</w:t>
            </w:r>
          </w:p>
        </w:tc>
        <w:tc>
          <w:tcPr>
            <w:tcW w:w="1201" w:type="dxa"/>
            <w:vAlign w:val="center"/>
          </w:tcPr>
          <w:p>
            <w:pPr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功能测试</w:t>
            </w:r>
          </w:p>
        </w:tc>
        <w:tc>
          <w:tcPr>
            <w:tcW w:w="2622" w:type="dxa"/>
            <w:gridSpan w:val="5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393" w:firstLineChars="0"/>
              <w:jc w:val="left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支持PDU每一位控制</w:t>
            </w:r>
          </w:p>
          <w:p>
            <w:pPr>
              <w:numPr>
                <w:ilvl w:val="0"/>
                <w:numId w:val="0"/>
              </w:numPr>
              <w:ind w:left="0" w:leftChars="0" w:firstLine="393" w:firstLineChars="0"/>
              <w:jc w:val="left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</w:p>
        </w:tc>
        <w:tc>
          <w:tcPr>
            <w:tcW w:w="1609" w:type="dxa"/>
            <w:gridSpan w:val="2"/>
            <w:vAlign w:val="center"/>
          </w:tcPr>
          <w:p>
            <w:pPr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王慧/李夏霞</w:t>
            </w:r>
          </w:p>
        </w:tc>
        <w:tc>
          <w:tcPr>
            <w:tcW w:w="2554" w:type="dxa"/>
            <w:gridSpan w:val="2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  <w:t>控制失败率少于1%</w:t>
            </w:r>
          </w:p>
        </w:tc>
        <w:tc>
          <w:tcPr>
            <w:tcW w:w="1425" w:type="dxa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01/17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634" w:type="dxa"/>
            <w:vAlign w:val="center"/>
          </w:tcPr>
          <w:p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4</w:t>
            </w:r>
          </w:p>
        </w:tc>
        <w:tc>
          <w:tcPr>
            <w:tcW w:w="1320" w:type="dxa"/>
            <w:gridSpan w:val="2"/>
            <w:vAlign w:val="center"/>
          </w:tcPr>
          <w:p>
            <w:pPr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 xml:space="preserve">Web页面基础功能测试 </w:t>
            </w:r>
          </w:p>
          <w:p>
            <w:pPr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</w:p>
        </w:tc>
        <w:tc>
          <w:tcPr>
            <w:tcW w:w="1201" w:type="dxa"/>
            <w:vAlign w:val="center"/>
          </w:tcPr>
          <w:p>
            <w:pPr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功能测试</w:t>
            </w:r>
          </w:p>
        </w:tc>
        <w:tc>
          <w:tcPr>
            <w:tcW w:w="2622" w:type="dxa"/>
            <w:gridSpan w:val="5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393" w:firstLineChars="0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通过IP访问web页面，查看设备数据及配置</w:t>
            </w:r>
          </w:p>
        </w:tc>
        <w:tc>
          <w:tcPr>
            <w:tcW w:w="1609" w:type="dxa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王慧/李夏霞</w:t>
            </w:r>
          </w:p>
        </w:tc>
        <w:tc>
          <w:tcPr>
            <w:tcW w:w="2554" w:type="dxa"/>
            <w:gridSpan w:val="2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包括SNMP设置，网络设置，定时设置，越限动作等，保证设备功能没有缺失与异常</w:t>
            </w:r>
          </w:p>
        </w:tc>
        <w:tc>
          <w:tcPr>
            <w:tcW w:w="1425" w:type="dxa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01/17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634" w:type="dxa"/>
            <w:vAlign w:val="center"/>
          </w:tcPr>
          <w:p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5</w:t>
            </w:r>
          </w:p>
        </w:tc>
        <w:tc>
          <w:tcPr>
            <w:tcW w:w="1320" w:type="dxa"/>
            <w:gridSpan w:val="2"/>
            <w:vAlign w:val="center"/>
          </w:tcPr>
          <w:p>
            <w:pPr>
              <w:rPr>
                <w:rFonts w:hint="eastAsia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设备外观与品质</w:t>
            </w:r>
          </w:p>
        </w:tc>
        <w:tc>
          <w:tcPr>
            <w:tcW w:w="1201" w:type="dxa"/>
            <w:vAlign w:val="center"/>
          </w:tcPr>
          <w:p>
            <w:pPr>
              <w:rPr>
                <w:rFonts w:hint="eastAsia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品控测试</w:t>
            </w:r>
          </w:p>
        </w:tc>
        <w:tc>
          <w:tcPr>
            <w:tcW w:w="2622" w:type="dxa"/>
            <w:gridSpan w:val="5"/>
            <w:vAlign w:val="center"/>
          </w:tcPr>
          <w:p>
            <w:pPr>
              <w:numPr>
                <w:ilvl w:val="0"/>
                <w:numId w:val="3"/>
              </w:numPr>
              <w:ind w:left="0" w:leftChars="0" w:firstLine="393" w:firstLineChars="0"/>
              <w:rPr>
                <w:rFonts w:hint="eastAsia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检测设备外观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br w:type="textWrapping"/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2、设备用料品质</w:t>
            </w:r>
          </w:p>
        </w:tc>
        <w:tc>
          <w:tcPr>
            <w:tcW w:w="1609" w:type="dxa"/>
            <w:gridSpan w:val="2"/>
            <w:vAlign w:val="center"/>
          </w:tcPr>
          <w:p>
            <w:pPr>
              <w:rPr>
                <w:rFonts w:hint="eastAsia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王慧/李夏霞</w:t>
            </w:r>
          </w:p>
        </w:tc>
        <w:tc>
          <w:tcPr>
            <w:tcW w:w="2554" w:type="dxa"/>
            <w:gridSpan w:val="2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  <w:t>符合基础要求</w:t>
            </w:r>
          </w:p>
        </w:tc>
        <w:tc>
          <w:tcPr>
            <w:tcW w:w="1425" w:type="dxa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01/17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11365" w:type="dxa"/>
            <w:gridSpan w:val="14"/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b/>
                <w:bCs/>
                <w:sz w:val="24"/>
                <w:lang w:val="en-US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产品测试结果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634" w:type="dxa"/>
            <w:vAlign w:val="center"/>
          </w:tcPr>
          <w:p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编号</w:t>
            </w:r>
          </w:p>
        </w:tc>
        <w:tc>
          <w:tcPr>
            <w:tcW w:w="1320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需求要点</w:t>
            </w:r>
          </w:p>
        </w:tc>
        <w:tc>
          <w:tcPr>
            <w:tcW w:w="1801" w:type="dxa"/>
            <w:gridSpan w:val="3"/>
            <w:vAlign w:val="center"/>
          </w:tcPr>
          <w:p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测试方法</w:t>
            </w:r>
          </w:p>
        </w:tc>
        <w:tc>
          <w:tcPr>
            <w:tcW w:w="1583" w:type="dxa"/>
            <w:gridSpan w:val="2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期望结果</w:t>
            </w:r>
          </w:p>
        </w:tc>
        <w:tc>
          <w:tcPr>
            <w:tcW w:w="2734" w:type="dxa"/>
            <w:gridSpan w:val="4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实际结果</w:t>
            </w:r>
          </w:p>
        </w:tc>
        <w:tc>
          <w:tcPr>
            <w:tcW w:w="1868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测试状态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sz w:val="24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9" w:hRule="atLeast"/>
        </w:trPr>
        <w:tc>
          <w:tcPr>
            <w:tcW w:w="634" w:type="dxa"/>
            <w:vAlign w:val="center"/>
          </w:tcPr>
          <w:p>
            <w:pPr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 xml:space="preserve">  1</w:t>
            </w:r>
          </w:p>
        </w:tc>
        <w:tc>
          <w:tcPr>
            <w:tcW w:w="1320" w:type="dxa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采集响应测试</w:t>
            </w:r>
          </w:p>
        </w:tc>
        <w:tc>
          <w:tcPr>
            <w:tcW w:w="1801" w:type="dxa"/>
            <w:gridSpan w:val="3"/>
            <w:vAlign w:val="center"/>
          </w:tcPr>
          <w:p>
            <w:pPr>
              <w:jc w:val="left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SNMP通讯采集测试</w:t>
            </w:r>
          </w:p>
          <w:p>
            <w:pPr>
              <w:numPr>
                <w:numId w:val="0"/>
              </w:numPr>
              <w:jc w:val="left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1、MIB库（OID）数据采集</w:t>
            </w:r>
          </w:p>
          <w:p>
            <w:pPr>
              <w:numPr>
                <w:numId w:val="0"/>
              </w:numPr>
              <w:jc w:val="left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2、相邻设备指令最小间隔与稳定间隔</w:t>
            </w:r>
          </w:p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批量读取100条OID</w:t>
            </w:r>
          </w:p>
        </w:tc>
        <w:tc>
          <w:tcPr>
            <w:tcW w:w="1583" w:type="dxa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</w:rPr>
              <w:t>响应失败率低于5%（通讯间隔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2</w:t>
            </w:r>
            <w:r>
              <w:rPr>
                <w:rFonts w:hint="eastAsia"/>
                <w:sz w:val="18"/>
                <w:szCs w:val="18"/>
              </w:rPr>
              <w:t>00ms）</w:t>
            </w:r>
          </w:p>
        </w:tc>
        <w:tc>
          <w:tcPr>
            <w:tcW w:w="2734" w:type="dxa"/>
            <w:gridSpan w:val="4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1直接采集lrader表全部数据：15s（MlB Browser）</w:t>
            </w:r>
          </w:p>
          <w:p>
            <w:pPr>
              <w:numPr>
                <w:ilvl w:val="0"/>
                <w:numId w:val="0"/>
              </w:numPr>
              <w:ind w:leftChars="0"/>
              <w:jc w:val="left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2批量读取100条OID：3s左右（MlB Browser）</w:t>
            </w:r>
          </w:p>
          <w:p>
            <w:pPr>
              <w:jc w:val="left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3读单个OID：200ms响应0失败(手动记录)</w:t>
            </w:r>
          </w:p>
        </w:tc>
        <w:tc>
          <w:tcPr>
            <w:tcW w:w="1868" w:type="dxa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通过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634" w:type="dxa"/>
            <w:vAlign w:val="center"/>
          </w:tcPr>
          <w:p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2</w:t>
            </w:r>
          </w:p>
        </w:tc>
        <w:tc>
          <w:tcPr>
            <w:tcW w:w="1320" w:type="dxa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数据误差</w:t>
            </w:r>
          </w:p>
        </w:tc>
        <w:tc>
          <w:tcPr>
            <w:tcW w:w="1801" w:type="dxa"/>
            <w:gridSpan w:val="3"/>
            <w:vAlign w:val="center"/>
          </w:tcPr>
          <w:p>
            <w:pPr>
              <w:numPr>
                <w:numId w:val="0"/>
              </w:numPr>
              <w:jc w:val="left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1、输入电压与实际电压误差</w:t>
            </w:r>
          </w:p>
          <w:p>
            <w:pPr>
              <w:numPr>
                <w:numId w:val="0"/>
              </w:numPr>
              <w:jc w:val="left"/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2、输出电压与实际电压误差</w:t>
            </w:r>
          </w:p>
        </w:tc>
        <w:tc>
          <w:tcPr>
            <w:tcW w:w="1583" w:type="dxa"/>
            <w:gridSpan w:val="2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正常接入后，偏差少于3%</w:t>
            </w:r>
          </w:p>
        </w:tc>
        <w:tc>
          <w:tcPr>
            <w:tcW w:w="2734" w:type="dxa"/>
            <w:gridSpan w:val="4"/>
            <w:vAlign w:val="center"/>
          </w:tcPr>
          <w:p>
            <w:pPr>
              <w:jc w:val="left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测试最大偏差为0.5V，远小于3%</w:t>
            </w:r>
          </w:p>
        </w:tc>
        <w:tc>
          <w:tcPr>
            <w:tcW w:w="1868" w:type="dxa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通过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634" w:type="dxa"/>
            <w:vAlign w:val="center"/>
          </w:tcPr>
          <w:p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3</w:t>
            </w:r>
          </w:p>
        </w:tc>
        <w:tc>
          <w:tcPr>
            <w:tcW w:w="1320" w:type="dxa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控制</w:t>
            </w:r>
          </w:p>
        </w:tc>
        <w:tc>
          <w:tcPr>
            <w:tcW w:w="1801" w:type="dxa"/>
            <w:gridSpan w:val="3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支持PDU每一位控制</w:t>
            </w:r>
          </w:p>
          <w:p>
            <w:pPr>
              <w:numPr>
                <w:ilvl w:val="0"/>
                <w:numId w:val="0"/>
              </w:numPr>
              <w:ind w:left="0" w:leftChars="0" w:firstLine="393" w:firstLineChars="0"/>
              <w:jc w:val="left"/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583" w:type="dxa"/>
            <w:gridSpan w:val="2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控制失败率少于1%</w:t>
            </w:r>
          </w:p>
        </w:tc>
        <w:tc>
          <w:tcPr>
            <w:tcW w:w="2734" w:type="dxa"/>
            <w:gridSpan w:val="4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手动多次控制无失败</w:t>
            </w:r>
          </w:p>
        </w:tc>
        <w:tc>
          <w:tcPr>
            <w:tcW w:w="1868" w:type="dxa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通过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634" w:type="dxa"/>
            <w:vAlign w:val="center"/>
          </w:tcPr>
          <w:p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4</w:t>
            </w:r>
          </w:p>
        </w:tc>
        <w:tc>
          <w:tcPr>
            <w:tcW w:w="1320" w:type="dxa"/>
            <w:gridSpan w:val="2"/>
            <w:vAlign w:val="center"/>
          </w:tcPr>
          <w:p>
            <w:pP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 xml:space="preserve">Web页面基础功能测试 </w:t>
            </w:r>
          </w:p>
          <w:p>
            <w:pPr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801" w:type="dxa"/>
            <w:gridSpan w:val="3"/>
            <w:vAlign w:val="center"/>
          </w:tcPr>
          <w:p>
            <w:pPr>
              <w:numPr>
                <w:ilvl w:val="0"/>
                <w:numId w:val="0"/>
              </w:numPr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通过IP访问web页面，查看设备数据及配置</w:t>
            </w:r>
          </w:p>
        </w:tc>
        <w:tc>
          <w:tcPr>
            <w:tcW w:w="1583" w:type="dxa"/>
            <w:gridSpan w:val="2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包括SNMP设置，网络设置，定时设置，越限动作等，保证设备功能没有缺失与异常</w:t>
            </w:r>
          </w:p>
        </w:tc>
        <w:tc>
          <w:tcPr>
            <w:tcW w:w="2734" w:type="dxa"/>
            <w:gridSpan w:val="4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SNMP可改get、set，版本；网络设置正常；</w:t>
            </w:r>
            <w:r>
              <w:rPr>
                <w:rFonts w:hint="eastAsia" w:ascii="楷体" w:hAnsi="楷体" w:eastAsia="楷体" w:cs="楷体"/>
                <w:color w:val="FF0000"/>
                <w:sz w:val="18"/>
                <w:szCs w:val="18"/>
                <w:lang w:val="en-US" w:eastAsia="zh-CN"/>
              </w:rPr>
              <w:t>定时</w:t>
            </w:r>
            <w:r>
              <w:rPr>
                <w:rFonts w:hint="eastAsia" w:ascii="楷体" w:hAnsi="楷体" w:eastAsia="楷体" w:cs="楷体"/>
                <w:color w:val="FF0000"/>
                <w:sz w:val="18"/>
                <w:szCs w:val="18"/>
                <w:lang w:val="en-US" w:eastAsia="zh-CN"/>
              </w:rPr>
              <w:t>只能定时定点开或关，定时可选功能少</w:t>
            </w: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；越线后动作正常；</w:t>
            </w:r>
            <w:r>
              <w:rPr>
                <w:rFonts w:hint="eastAsia" w:ascii="楷体" w:hAnsi="楷体" w:eastAsia="楷体" w:cs="楷体"/>
                <w:color w:val="FF0000"/>
                <w:sz w:val="18"/>
                <w:szCs w:val="18"/>
                <w:lang w:val="en-US" w:eastAsia="zh-CN"/>
              </w:rPr>
              <w:t>级联状态下，从机设备闭合/断开时间太快；使用时需要同步时间</w:t>
            </w: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。</w:t>
            </w:r>
          </w:p>
        </w:tc>
        <w:tc>
          <w:tcPr>
            <w:tcW w:w="1868" w:type="dxa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通过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634" w:type="dxa"/>
            <w:vAlign w:val="center"/>
          </w:tcPr>
          <w:p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5</w:t>
            </w:r>
          </w:p>
        </w:tc>
        <w:tc>
          <w:tcPr>
            <w:tcW w:w="1320" w:type="dxa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设备外观与品质</w:t>
            </w:r>
          </w:p>
        </w:tc>
        <w:tc>
          <w:tcPr>
            <w:tcW w:w="1801" w:type="dxa"/>
            <w:gridSpan w:val="3"/>
            <w:vAlign w:val="center"/>
          </w:tcPr>
          <w:p>
            <w:pPr>
              <w:numPr>
                <w:numId w:val="0"/>
              </w:numPr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1、检测设备外观</w:t>
            </w: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br w:type="textWrapping"/>
            </w: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2、设备用料品质</w:t>
            </w:r>
          </w:p>
        </w:tc>
        <w:tc>
          <w:tcPr>
            <w:tcW w:w="1583" w:type="dxa"/>
            <w:gridSpan w:val="2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符合基础要求</w:t>
            </w:r>
          </w:p>
        </w:tc>
        <w:tc>
          <w:tcPr>
            <w:tcW w:w="2734" w:type="dxa"/>
            <w:gridSpan w:val="4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主线采用6mm</w:t>
            </w:r>
            <w:r>
              <w:rPr>
                <w:rFonts w:hint="eastAsia" w:ascii="楷体" w:hAnsi="楷体" w:eastAsia="楷体" w:cs="楷体"/>
                <w:sz w:val="18"/>
                <w:szCs w:val="18"/>
                <w:vertAlign w:val="superscript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铜线，6块电源板，每块电源板控制4个插座；产品外壳做工良好外观也可，功能较为完善；</w:t>
            </w:r>
          </w:p>
        </w:tc>
        <w:tc>
          <w:tcPr>
            <w:tcW w:w="1868" w:type="dxa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通过</w:t>
            </w:r>
            <w:bookmarkStart w:id="0" w:name="_GoBack"/>
            <w:bookmarkEnd w:id="0"/>
          </w:p>
        </w:tc>
        <w:tc>
          <w:tcPr>
            <w:tcW w:w="1425" w:type="dxa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1365" w:type="dxa"/>
            <w:gridSpan w:val="14"/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产品测试记录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编号</w:t>
            </w:r>
          </w:p>
        </w:tc>
        <w:tc>
          <w:tcPr>
            <w:tcW w:w="1320" w:type="dxa"/>
            <w:gridSpan w:val="2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4"/>
                <w:szCs w:val="24"/>
                <w:lang w:val="en-US" w:eastAsia="zh-CN" w:bidi="ar-SA"/>
              </w:rPr>
              <w:t>测试项目</w:t>
            </w:r>
          </w:p>
        </w:tc>
        <w:tc>
          <w:tcPr>
            <w:tcW w:w="9411" w:type="dxa"/>
            <w:gridSpan w:val="11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4"/>
                <w:szCs w:val="24"/>
                <w:lang w:val="en-US" w:eastAsia="zh-CN" w:bidi="ar-SA"/>
              </w:rPr>
              <w:t>测试记录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0" w:type="auto"/>
            <w:vAlign w:val="center"/>
          </w:tcPr>
          <w:p>
            <w:pPr>
              <w:rPr>
                <w:rFonts w:hint="eastAsia" w:ascii="楷体" w:hAnsi="楷体" w:eastAsia="楷体" w:cs="楷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 xml:space="preserve">  1</w:t>
            </w:r>
          </w:p>
        </w:tc>
        <w:tc>
          <w:tcPr>
            <w:tcW w:w="1320" w:type="dxa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采集响应测试</w:t>
            </w:r>
          </w:p>
        </w:tc>
        <w:tc>
          <w:tcPr>
            <w:tcW w:w="9411" w:type="dxa"/>
            <w:gridSpan w:val="11"/>
            <w:vAlign w:val="center"/>
          </w:tcPr>
          <w:p>
            <w:pPr>
              <w:numPr>
                <w:numId w:val="0"/>
              </w:numPr>
              <w:jc w:val="left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1直接采集lrader表全部数据：15s</w:t>
            </w:r>
          </w:p>
          <w:p>
            <w:pPr>
              <w:numPr>
                <w:numId w:val="0"/>
              </w:numPr>
              <w:ind w:leftChars="0"/>
              <w:jc w:val="left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2批量读取100条OID：3s左右</w:t>
            </w:r>
          </w:p>
          <w:p>
            <w:pPr>
              <w:jc w:val="both"/>
              <w:rPr>
                <w:rFonts w:hint="default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3读单个OID：200ms响应0失败(手动记录)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0" w:type="auto"/>
            <w:vAlign w:val="center"/>
          </w:tcPr>
          <w:p>
            <w:pPr>
              <w:ind w:firstLine="241" w:firstLineChars="100"/>
              <w:rPr>
                <w:rFonts w:hint="eastAsia" w:ascii="楷体" w:hAnsi="楷体" w:eastAsia="楷体" w:cs="楷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2</w:t>
            </w:r>
          </w:p>
        </w:tc>
        <w:tc>
          <w:tcPr>
            <w:tcW w:w="1320" w:type="dxa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数据误差</w:t>
            </w:r>
          </w:p>
        </w:tc>
        <w:tc>
          <w:tcPr>
            <w:tcW w:w="9411" w:type="dxa"/>
            <w:gridSpan w:val="11"/>
            <w:vAlign w:val="center"/>
          </w:tcPr>
          <w:p>
            <w:pPr>
              <w:jc w:val="left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总输入：235.0v（万用表），235.5v(表显)，235.1v(OID)</w:t>
            </w:r>
          </w:p>
          <w:p>
            <w:pPr>
              <w:jc w:val="both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 xml:space="preserve">1路OID:235.3   万用表:235.2   </w:t>
            </w:r>
          </w:p>
          <w:p>
            <w:pPr>
              <w:jc w:val="both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2路OID:235.7   万用表:235.3</w:t>
            </w:r>
          </w:p>
          <w:p>
            <w:pPr>
              <w:jc w:val="both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3路OID:235.5   万用表:235.5</w:t>
            </w:r>
          </w:p>
          <w:p>
            <w:pPr>
              <w:jc w:val="both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4路OID:235.2   万用表:235.3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0" w:type="auto"/>
            <w:vAlign w:val="center"/>
          </w:tcPr>
          <w:p>
            <w:pPr>
              <w:ind w:firstLine="241" w:firstLineChars="100"/>
              <w:jc w:val="both"/>
              <w:rPr>
                <w:rFonts w:hint="default" w:ascii="楷体" w:hAnsi="楷体" w:eastAsia="楷体" w:cs="楷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4"/>
                <w:szCs w:val="24"/>
                <w:lang w:val="en-US" w:eastAsia="zh-CN" w:bidi="ar-SA"/>
              </w:rPr>
              <w:t>3</w:t>
            </w:r>
          </w:p>
        </w:tc>
        <w:tc>
          <w:tcPr>
            <w:tcW w:w="1320" w:type="dxa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控制</w:t>
            </w:r>
          </w:p>
        </w:tc>
        <w:tc>
          <w:tcPr>
            <w:tcW w:w="9411" w:type="dxa"/>
            <w:gridSpan w:val="11"/>
            <w:vAlign w:val="center"/>
          </w:tcPr>
          <w:p>
            <w:pPr>
              <w:jc w:val="both"/>
              <w:rPr>
                <w:rFonts w:hint="default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  <w:t>1-24路开关控制成功，手动控制下成功率100%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0" w:type="auto"/>
            <w:vAlign w:val="center"/>
          </w:tcPr>
          <w:p>
            <w:pPr>
              <w:ind w:firstLine="241" w:firstLineChars="100"/>
              <w:jc w:val="both"/>
              <w:rPr>
                <w:rFonts w:hint="default" w:ascii="楷体" w:hAnsi="楷体" w:eastAsia="楷体" w:cs="楷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4"/>
                <w:szCs w:val="24"/>
                <w:lang w:val="en-US" w:eastAsia="zh-CN" w:bidi="ar-SA"/>
              </w:rPr>
              <w:t>4</w:t>
            </w:r>
          </w:p>
        </w:tc>
        <w:tc>
          <w:tcPr>
            <w:tcW w:w="1320" w:type="dxa"/>
            <w:gridSpan w:val="2"/>
            <w:vAlign w:val="center"/>
          </w:tcPr>
          <w:p>
            <w:pPr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 xml:space="preserve">Web页面基础功能测试 </w:t>
            </w:r>
          </w:p>
          <w:p>
            <w:pPr>
              <w:rPr>
                <w:rFonts w:hint="default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411" w:type="dxa"/>
            <w:gridSpan w:val="11"/>
            <w:vAlign w:val="center"/>
          </w:tcPr>
          <w:p>
            <w:pPr>
              <w:jc w:val="both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账号：admin  密码：admin</w:t>
            </w:r>
          </w:p>
          <w:p>
            <w:pPr>
              <w:numPr>
                <w:ilvl w:val="0"/>
                <w:numId w:val="4"/>
              </w:numPr>
              <w:jc w:val="both"/>
              <w:rPr>
                <w:rFonts w:hint="eastAsia" w:ascii="楷体" w:hAnsi="楷体" w:eastAsia="楷体" w:cs="楷体"/>
                <w:b/>
                <w:bCs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18"/>
                <w:szCs w:val="18"/>
                <w:lang w:val="en-US" w:eastAsia="zh-CN" w:bidi="ar-SA"/>
              </w:rPr>
              <w:t>主页</w:t>
            </w:r>
          </w:p>
          <w:p>
            <w:pPr>
              <w:numPr>
                <w:numId w:val="0"/>
              </w:numPr>
              <w:jc w:val="both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设备数据：</w:t>
            </w:r>
          </w:p>
          <w:p>
            <w:pPr>
              <w:numPr>
                <w:numId w:val="0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114300" distR="114300">
                  <wp:extent cx="3448685" cy="432435"/>
                  <wp:effectExtent l="0" t="0" r="18415" b="5715"/>
                  <wp:docPr id="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685" cy="4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numId w:val="0"/>
              </w:numPr>
              <w:jc w:val="both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主机参数：</w:t>
            </w:r>
          </w:p>
          <w:p>
            <w:pPr>
              <w:numPr>
                <w:numId w:val="0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114300" distR="114300">
                  <wp:extent cx="3429000" cy="736600"/>
                  <wp:effectExtent l="0" t="0" r="0" b="6350"/>
                  <wp:docPr id="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numId w:val="0"/>
              </w:numPr>
              <w:jc w:val="both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支路参数：</w:t>
            </w:r>
          </w:p>
          <w:p>
            <w:pPr>
              <w:numPr>
                <w:numId w:val="0"/>
              </w:numPr>
              <w:jc w:val="both"/>
              <w:rPr>
                <w:sz w:val="18"/>
                <w:szCs w:val="18"/>
              </w:rPr>
            </w:pPr>
            <w:r>
              <w:drawing>
                <wp:inline distT="0" distB="0" distL="114300" distR="114300">
                  <wp:extent cx="4523740" cy="1287780"/>
                  <wp:effectExtent l="0" t="0" r="10160" b="7620"/>
                  <wp:docPr id="27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374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numId w:val="0"/>
              </w:numPr>
              <w:jc w:val="both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插座控制：（可控制，一键开启或闭合会从第一个开始依次动作；级联状态下，从机设备闭合/断开时间太快）</w:t>
            </w:r>
          </w:p>
          <w:p>
            <w:pPr>
              <w:numPr>
                <w:numId w:val="0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114300" distR="114300">
                  <wp:extent cx="3606800" cy="1275080"/>
                  <wp:effectExtent l="0" t="0" r="12700" b="1270"/>
                  <wp:docPr id="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800" cy="127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numId w:val="0"/>
              </w:numPr>
              <w:jc w:val="both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告警状态（输入状态）：（告警时会变红色，设备蜂鸣器会响）</w:t>
            </w:r>
          </w:p>
          <w:p>
            <w:pPr>
              <w:numPr>
                <w:numId w:val="0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114300" distR="114300">
                  <wp:extent cx="4233545" cy="732155"/>
                  <wp:effectExtent l="0" t="0" r="14605" b="10795"/>
                  <wp:docPr id="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354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jc w:val="both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告警状态（支路状态）：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（告警时会变红色，设备蜂鸣器会响）</w:t>
            </w:r>
          </w:p>
          <w:p>
            <w:pPr>
              <w:numPr>
                <w:numId w:val="0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114300" distR="114300">
                  <wp:extent cx="4018915" cy="1484630"/>
                  <wp:effectExtent l="0" t="0" r="635" b="1270"/>
                  <wp:docPr id="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8915" cy="148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jc w:val="both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告警状态（级联状态）：</w:t>
            </w:r>
          </w:p>
          <w:p>
            <w:pPr>
              <w:numPr>
                <w:numId w:val="0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114300" distR="114300">
                  <wp:extent cx="5721350" cy="509905"/>
                  <wp:effectExtent l="0" t="0" r="12700" b="4445"/>
                  <wp:docPr id="8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350" cy="50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jc w:val="both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告警状态（传感器）：</w:t>
            </w:r>
          </w:p>
          <w:p>
            <w:pPr>
              <w:numPr>
                <w:numId w:val="0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114300" distR="114300">
                  <wp:extent cx="5633085" cy="1823720"/>
                  <wp:effectExtent l="0" t="0" r="5715" b="5080"/>
                  <wp:docPr id="9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3085" cy="182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4"/>
              </w:numPr>
              <w:ind w:left="0" w:leftChars="0" w:firstLine="0" w:firstLineChars="0"/>
              <w:jc w:val="both"/>
              <w:rPr>
                <w:rFonts w:hint="eastAsia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lang w:val="en-US" w:eastAsia="zh-CN"/>
              </w:rPr>
              <w:t>传感器</w:t>
            </w:r>
          </w:p>
          <w:p>
            <w:pPr>
              <w:numPr>
                <w:numId w:val="0"/>
              </w:numPr>
              <w:ind w:leftChars="0"/>
              <w:jc w:val="both"/>
              <w:rPr>
                <w:rFonts w:hint="eastAsia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lang w:val="en-US" w:eastAsia="zh-CN"/>
              </w:rPr>
              <w:t>温湿度传感器：</w:t>
            </w:r>
          </w:p>
          <w:p>
            <w:pPr>
              <w:numPr>
                <w:numId w:val="0"/>
              </w:numPr>
              <w:ind w:leftChars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114300" distR="114300">
                  <wp:extent cx="4883785" cy="1111250"/>
                  <wp:effectExtent l="0" t="0" r="12065" b="12700"/>
                  <wp:docPr id="10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78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numId w:val="0"/>
              </w:numPr>
              <w:ind w:leftChars="0"/>
              <w:jc w:val="both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其他传感器：</w:t>
            </w:r>
          </w:p>
          <w:p>
            <w:pPr>
              <w:numPr>
                <w:numId w:val="0"/>
              </w:numPr>
              <w:ind w:leftChars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114300" distR="114300">
                  <wp:extent cx="4429760" cy="520065"/>
                  <wp:effectExtent l="0" t="0" r="8890" b="13335"/>
                  <wp:docPr id="11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760" cy="52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4"/>
              </w:numPr>
              <w:ind w:left="0" w:leftChars="0" w:firstLine="0" w:firstLineChars="0"/>
              <w:jc w:val="both"/>
              <w:rPr>
                <w:rFonts w:hint="eastAsia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szCs w:val="18"/>
                <w:lang w:val="en-US" w:eastAsia="zh-CN"/>
              </w:rPr>
              <w:t>支路</w:t>
            </w:r>
          </w:p>
          <w:p>
            <w:pPr>
              <w:numPr>
                <w:numId w:val="0"/>
              </w:numPr>
              <w:ind w:leftChars="0"/>
              <w:jc w:val="both"/>
              <w:rPr>
                <w:rFonts w:hint="default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  <w:lang w:val="en-US" w:eastAsia="zh-CN"/>
              </w:rPr>
              <w:t>支路配置：</w:t>
            </w:r>
          </w:p>
          <w:p>
            <w:pPr>
              <w:numPr>
                <w:numId w:val="0"/>
              </w:numPr>
              <w:ind w:leftChars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114300" distR="114300">
                  <wp:extent cx="4692650" cy="898525"/>
                  <wp:effectExtent l="0" t="0" r="12700" b="15875"/>
                  <wp:docPr id="12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2650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numId w:val="0"/>
              </w:numPr>
              <w:ind w:leftChars="0"/>
              <w:jc w:val="both"/>
              <w:rPr>
                <w:rFonts w:hint="eastAsia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编辑：（可配置支路告警阈值、动作、初始状态）</w:t>
            </w:r>
          </w:p>
          <w:p>
            <w:pPr>
              <w:numPr>
                <w:numId w:val="0"/>
              </w:numPr>
              <w:ind w:leftChars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114300" distR="114300">
                  <wp:extent cx="3125470" cy="1891030"/>
                  <wp:effectExtent l="0" t="0" r="17780" b="13970"/>
                  <wp:docPr id="13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470" cy="189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numId w:val="0"/>
              </w:numPr>
              <w:ind w:leftChars="0"/>
              <w:jc w:val="both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定时计划：（支路定时开关，只能定时定点开或关）</w:t>
            </w:r>
          </w:p>
          <w:p>
            <w:pPr>
              <w:numPr>
                <w:numId w:val="0"/>
              </w:numPr>
              <w:ind w:leftChars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114300" distR="114300">
                  <wp:extent cx="5720715" cy="948690"/>
                  <wp:effectExtent l="0" t="0" r="13335" b="3810"/>
                  <wp:docPr id="14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0715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numId w:val="0"/>
              </w:numPr>
              <w:ind w:leftChars="0"/>
              <w:jc w:val="both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参数复制：（可将某一路配置好的配置参数复制到其他支路）</w:t>
            </w:r>
          </w:p>
          <w:p>
            <w:pPr>
              <w:numPr>
                <w:numId w:val="0"/>
              </w:numPr>
              <w:ind w:leftChars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114300" distR="114300">
                  <wp:extent cx="4770755" cy="1762125"/>
                  <wp:effectExtent l="0" t="0" r="10795" b="9525"/>
                  <wp:docPr id="15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75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4"/>
              </w:numPr>
              <w:ind w:left="0" w:leftChars="0" w:firstLine="0" w:firstLineChars="0"/>
              <w:jc w:val="both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设置</w:t>
            </w:r>
          </w:p>
          <w:p>
            <w:pPr>
              <w:numPr>
                <w:numId w:val="0"/>
              </w:numPr>
              <w:ind w:leftChars="0"/>
              <w:jc w:val="both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账户管理：（增加设备操作用户和修改用户密码）</w:t>
            </w:r>
          </w:p>
          <w:p>
            <w:pPr>
              <w:numPr>
                <w:numId w:val="0"/>
              </w:numPr>
              <w:ind w:leftChars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114300" distR="114300">
                  <wp:extent cx="3742690" cy="1131570"/>
                  <wp:effectExtent l="0" t="0" r="10160" b="11430"/>
                  <wp:docPr id="16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2690" cy="113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numId w:val="0"/>
              </w:numPr>
              <w:ind w:leftChars="0"/>
              <w:jc w:val="both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分组管理：（增加用户组，可自定义权限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）</w:t>
            </w:r>
          </w:p>
          <w:p>
            <w:pPr>
              <w:numPr>
                <w:numId w:val="0"/>
              </w:numPr>
              <w:ind w:leftChars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114300" distR="114300">
                  <wp:extent cx="5256530" cy="880110"/>
                  <wp:effectExtent l="0" t="0" r="1270" b="15240"/>
                  <wp:docPr id="17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6530" cy="88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numId w:val="0"/>
              </w:numPr>
              <w:ind w:leftChars="0"/>
              <w:jc w:val="both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密码修改：（修改当前用户的密码）</w:t>
            </w:r>
          </w:p>
          <w:p>
            <w:pPr>
              <w:numPr>
                <w:numId w:val="0"/>
              </w:numPr>
              <w:ind w:leftChars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114300" distR="114300">
                  <wp:extent cx="4988560" cy="1170305"/>
                  <wp:effectExtent l="0" t="0" r="2540" b="10795"/>
                  <wp:docPr id="18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8560" cy="117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numId w:val="0"/>
              </w:numPr>
              <w:ind w:leftChars="0"/>
              <w:jc w:val="both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设备部署-级联设置：（级联设备需要设置成从机模式）</w:t>
            </w:r>
          </w:p>
          <w:p>
            <w:pPr>
              <w:numPr>
                <w:numId w:val="0"/>
              </w:numPr>
              <w:ind w:leftChars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114300" distR="114300">
                  <wp:extent cx="1391920" cy="741680"/>
                  <wp:effectExtent l="0" t="0" r="17780" b="1270"/>
                  <wp:docPr id="19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20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ind w:leftChars="0"/>
              <w:jc w:val="both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设备部署-网络设置：</w:t>
            </w:r>
          </w:p>
          <w:p>
            <w:pPr>
              <w:numPr>
                <w:numId w:val="0"/>
              </w:numPr>
              <w:ind w:leftChars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114300" distR="114300">
                  <wp:extent cx="1614170" cy="1542415"/>
                  <wp:effectExtent l="0" t="0" r="5080" b="635"/>
                  <wp:docPr id="20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70" cy="154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ind w:leftChars="0"/>
              <w:jc w:val="both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设备部署-SNMP设置：</w:t>
            </w:r>
          </w:p>
          <w:p>
            <w:pPr>
              <w:numPr>
                <w:numId w:val="0"/>
              </w:numPr>
              <w:ind w:leftChars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114300" distR="114300">
                  <wp:extent cx="2878455" cy="1381760"/>
                  <wp:effectExtent l="0" t="0" r="17145" b="8890"/>
                  <wp:docPr id="21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455" cy="138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ind w:leftChars="0"/>
              <w:jc w:val="both"/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设备部署-TELNET/SSH设置：（开启关闭正常，密码修改正常）</w:t>
            </w:r>
          </w:p>
          <w:p>
            <w:pPr>
              <w:numPr>
                <w:numId w:val="0"/>
              </w:numPr>
              <w:ind w:leftChars="0"/>
              <w:jc w:val="both"/>
            </w:pPr>
            <w:r>
              <w:drawing>
                <wp:inline distT="0" distB="0" distL="114300" distR="114300">
                  <wp:extent cx="2581275" cy="1155065"/>
                  <wp:effectExtent l="0" t="0" r="9525" b="6985"/>
                  <wp:docPr id="22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15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ind w:leftChars="0"/>
              <w:jc w:val="both"/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设备部署-LCD设置：</w:t>
            </w:r>
          </w:p>
          <w:p>
            <w:pPr>
              <w:numPr>
                <w:numId w:val="0"/>
              </w:numPr>
              <w:ind w:leftChars="0"/>
              <w:jc w:val="both"/>
            </w:pPr>
            <w:r>
              <w:drawing>
                <wp:inline distT="0" distB="0" distL="114300" distR="114300">
                  <wp:extent cx="2102485" cy="884555"/>
                  <wp:effectExtent l="0" t="0" r="12065" b="10795"/>
                  <wp:docPr id="25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485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numId w:val="0"/>
              </w:numPr>
              <w:ind w:leftChars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全局设置-系统时间设置：（默认手动更新，使用时需要同步时间）</w:t>
            </w:r>
          </w:p>
          <w:p>
            <w:pPr>
              <w:numPr>
                <w:numId w:val="0"/>
              </w:numPr>
              <w:ind w:leftChars="0"/>
              <w:jc w:val="both"/>
            </w:pPr>
            <w:r>
              <w:drawing>
                <wp:inline distT="0" distB="0" distL="114300" distR="114300">
                  <wp:extent cx="4699635" cy="1299845"/>
                  <wp:effectExtent l="0" t="0" r="5715" b="14605"/>
                  <wp:docPr id="28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635" cy="129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numId w:val="0"/>
              </w:numPr>
              <w:ind w:leftChars="0"/>
              <w:jc w:val="both"/>
            </w:pPr>
            <w:r>
              <w:rPr>
                <w:rFonts w:hint="eastAsia"/>
                <w:lang w:val="en-US" w:eastAsia="zh-CN"/>
              </w:rPr>
              <w:t>全局设置-延时上电：（应为每个支路的上电间隔）</w:t>
            </w:r>
          </w:p>
          <w:p>
            <w:pPr>
              <w:numPr>
                <w:numId w:val="0"/>
              </w:numPr>
              <w:ind w:leftChars="0"/>
              <w:jc w:val="both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4922520" cy="766445"/>
                  <wp:effectExtent l="0" t="0" r="11430" b="14605"/>
                  <wp:docPr id="29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2520" cy="76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0" w:type="auto"/>
            <w:vAlign w:val="center"/>
          </w:tcPr>
          <w:p>
            <w:pPr>
              <w:ind w:firstLine="241" w:firstLineChars="100"/>
              <w:jc w:val="both"/>
              <w:rPr>
                <w:rFonts w:hint="default" w:ascii="楷体" w:hAnsi="楷体" w:eastAsia="楷体" w:cs="楷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4"/>
                <w:szCs w:val="24"/>
                <w:lang w:val="en-US" w:eastAsia="zh-CN" w:bidi="ar-SA"/>
              </w:rPr>
              <w:t>5</w:t>
            </w:r>
          </w:p>
        </w:tc>
        <w:tc>
          <w:tcPr>
            <w:tcW w:w="1320" w:type="dxa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设备外观与品质</w:t>
            </w:r>
          </w:p>
        </w:tc>
        <w:tc>
          <w:tcPr>
            <w:tcW w:w="9411" w:type="dxa"/>
            <w:gridSpan w:val="11"/>
            <w:vAlign w:val="center"/>
          </w:tcPr>
          <w:p>
            <w:pPr>
              <w:jc w:val="both"/>
              <w:rPr>
                <w:rFonts w:hint="default" w:eastAsiaTheme="minor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主线采用6mm</w:t>
            </w:r>
            <w:r>
              <w:rPr>
                <w:rFonts w:hint="eastAsia"/>
                <w:sz w:val="18"/>
                <w:szCs w:val="18"/>
                <w:vertAlign w:val="superscript"/>
                <w:lang w:val="en-US" w:eastAsia="zh-CN"/>
              </w:rPr>
              <w:t>2</w:t>
            </w: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铜线，6块电源板，每块电源板控制4个插座；产品外壳做工良好外观也可，功能较为完善；</w:t>
            </w:r>
          </w:p>
          <w:p>
            <w:pPr>
              <w:jc w:val="both"/>
              <w:rPr>
                <w:rFonts w:hint="default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1969135" cy="949960"/>
                  <wp:effectExtent l="0" t="0" r="12065" b="2540"/>
                  <wp:docPr id="30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135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left"/>
        <w:rPr>
          <w:rFonts w:hint="default" w:ascii="楷体" w:hAnsi="楷体" w:eastAsia="楷体" w:cs="楷体"/>
          <w:sz w:val="24"/>
          <w:lang w:val="en-US" w:eastAsia="zh-CN"/>
        </w:rPr>
      </w:pPr>
    </w:p>
    <w:sectPr>
      <w:pgSz w:w="11906" w:h="16838"/>
      <w:pgMar w:top="85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E9E00C"/>
    <w:multiLevelType w:val="singleLevel"/>
    <w:tmpl w:val="A1E9E00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0EB2A71"/>
    <w:multiLevelType w:val="singleLevel"/>
    <w:tmpl w:val="B0EB2A71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2E55B10E"/>
    <w:multiLevelType w:val="singleLevel"/>
    <w:tmpl w:val="2E55B10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4F418624"/>
    <w:multiLevelType w:val="singleLevel"/>
    <w:tmpl w:val="4F41862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23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A2OTViNTQwNWQ5YjliNDI2ZWMxMmZjNDM1NzY2Y2UifQ=="/>
  </w:docVars>
  <w:rsids>
    <w:rsidRoot w:val="2907743C"/>
    <w:rsid w:val="000F6EED"/>
    <w:rsid w:val="001E2D8E"/>
    <w:rsid w:val="00754B4E"/>
    <w:rsid w:val="00E518AE"/>
    <w:rsid w:val="01004D10"/>
    <w:rsid w:val="019571A4"/>
    <w:rsid w:val="01BA51E5"/>
    <w:rsid w:val="01D14E0A"/>
    <w:rsid w:val="023B6A38"/>
    <w:rsid w:val="02565064"/>
    <w:rsid w:val="02780A9B"/>
    <w:rsid w:val="029119C5"/>
    <w:rsid w:val="0328191F"/>
    <w:rsid w:val="039A1E78"/>
    <w:rsid w:val="03C65217"/>
    <w:rsid w:val="03E04B6A"/>
    <w:rsid w:val="056E2BFB"/>
    <w:rsid w:val="057C7E0F"/>
    <w:rsid w:val="05D1531A"/>
    <w:rsid w:val="0620602C"/>
    <w:rsid w:val="063F64EF"/>
    <w:rsid w:val="06565574"/>
    <w:rsid w:val="065E0402"/>
    <w:rsid w:val="06A425EB"/>
    <w:rsid w:val="06AB6B44"/>
    <w:rsid w:val="071311AA"/>
    <w:rsid w:val="077E62DB"/>
    <w:rsid w:val="07B11FAD"/>
    <w:rsid w:val="07D06FDE"/>
    <w:rsid w:val="08234384"/>
    <w:rsid w:val="08A737BE"/>
    <w:rsid w:val="095347F5"/>
    <w:rsid w:val="09FF5075"/>
    <w:rsid w:val="0A0C438A"/>
    <w:rsid w:val="0A891756"/>
    <w:rsid w:val="0AF83246"/>
    <w:rsid w:val="0B01399E"/>
    <w:rsid w:val="0B0B42AD"/>
    <w:rsid w:val="0B94510B"/>
    <w:rsid w:val="0C12152E"/>
    <w:rsid w:val="0CCB0A0B"/>
    <w:rsid w:val="0CDE1C2A"/>
    <w:rsid w:val="0D014D4B"/>
    <w:rsid w:val="0E570697"/>
    <w:rsid w:val="0F852E02"/>
    <w:rsid w:val="0FAE3FC6"/>
    <w:rsid w:val="102A1392"/>
    <w:rsid w:val="108C1436"/>
    <w:rsid w:val="10FE047E"/>
    <w:rsid w:val="112A0F34"/>
    <w:rsid w:val="11E9219A"/>
    <w:rsid w:val="12140E6B"/>
    <w:rsid w:val="12576123"/>
    <w:rsid w:val="12833AF0"/>
    <w:rsid w:val="12AA5D7C"/>
    <w:rsid w:val="13126856"/>
    <w:rsid w:val="13F526CC"/>
    <w:rsid w:val="142F5D29"/>
    <w:rsid w:val="14782CA6"/>
    <w:rsid w:val="14E32355"/>
    <w:rsid w:val="15640325"/>
    <w:rsid w:val="15E7507B"/>
    <w:rsid w:val="15F558B6"/>
    <w:rsid w:val="15F73AF6"/>
    <w:rsid w:val="16413F89"/>
    <w:rsid w:val="167A3002"/>
    <w:rsid w:val="169D0AAC"/>
    <w:rsid w:val="1763366E"/>
    <w:rsid w:val="17DB67AF"/>
    <w:rsid w:val="187C6339"/>
    <w:rsid w:val="18DA4154"/>
    <w:rsid w:val="19F710A8"/>
    <w:rsid w:val="1A9C3DB4"/>
    <w:rsid w:val="1AC056AA"/>
    <w:rsid w:val="1AF42245"/>
    <w:rsid w:val="1B7E3953"/>
    <w:rsid w:val="1C346454"/>
    <w:rsid w:val="1C714E9C"/>
    <w:rsid w:val="1C7F77CD"/>
    <w:rsid w:val="1D6D3C7F"/>
    <w:rsid w:val="1DD24BFC"/>
    <w:rsid w:val="1E117F64"/>
    <w:rsid w:val="1E3779D9"/>
    <w:rsid w:val="1E4A6304"/>
    <w:rsid w:val="1F4437D9"/>
    <w:rsid w:val="1F890B18"/>
    <w:rsid w:val="1FA572DC"/>
    <w:rsid w:val="1FC240A7"/>
    <w:rsid w:val="1FEB0CE2"/>
    <w:rsid w:val="20361E67"/>
    <w:rsid w:val="204B6589"/>
    <w:rsid w:val="20847329"/>
    <w:rsid w:val="20D77715"/>
    <w:rsid w:val="21370351"/>
    <w:rsid w:val="2197576F"/>
    <w:rsid w:val="22973BD0"/>
    <w:rsid w:val="22E4429D"/>
    <w:rsid w:val="235F5B97"/>
    <w:rsid w:val="23AC3027"/>
    <w:rsid w:val="23C358BC"/>
    <w:rsid w:val="24151E43"/>
    <w:rsid w:val="248249F5"/>
    <w:rsid w:val="24A44BA9"/>
    <w:rsid w:val="25452535"/>
    <w:rsid w:val="254D6EFB"/>
    <w:rsid w:val="25E37AB4"/>
    <w:rsid w:val="25ED3C47"/>
    <w:rsid w:val="25FA2F5D"/>
    <w:rsid w:val="26444656"/>
    <w:rsid w:val="2650413E"/>
    <w:rsid w:val="265C1CFC"/>
    <w:rsid w:val="26630818"/>
    <w:rsid w:val="267A11BB"/>
    <w:rsid w:val="26E2325A"/>
    <w:rsid w:val="26E25459"/>
    <w:rsid w:val="26F121F0"/>
    <w:rsid w:val="27BA3129"/>
    <w:rsid w:val="28067105"/>
    <w:rsid w:val="28BD3A65"/>
    <w:rsid w:val="28E107A2"/>
    <w:rsid w:val="28E41726"/>
    <w:rsid w:val="2907743C"/>
    <w:rsid w:val="291908FB"/>
    <w:rsid w:val="2A134397"/>
    <w:rsid w:val="2A136595"/>
    <w:rsid w:val="2A7740BB"/>
    <w:rsid w:val="2ACA60C4"/>
    <w:rsid w:val="2B0A0673"/>
    <w:rsid w:val="2B1264B8"/>
    <w:rsid w:val="2BB172BB"/>
    <w:rsid w:val="2BDE4907"/>
    <w:rsid w:val="2BFE73BA"/>
    <w:rsid w:val="2C493FB6"/>
    <w:rsid w:val="2C8F472B"/>
    <w:rsid w:val="2CCD0FFD"/>
    <w:rsid w:val="2CF44F2A"/>
    <w:rsid w:val="2D470797"/>
    <w:rsid w:val="2D8F1757"/>
    <w:rsid w:val="2D9561D7"/>
    <w:rsid w:val="2E3502DE"/>
    <w:rsid w:val="2E8B79E8"/>
    <w:rsid w:val="2EB4662E"/>
    <w:rsid w:val="2FE62223"/>
    <w:rsid w:val="2FF66BA3"/>
    <w:rsid w:val="301729F2"/>
    <w:rsid w:val="301D7787"/>
    <w:rsid w:val="306E0E83"/>
    <w:rsid w:val="318F1549"/>
    <w:rsid w:val="325E19B3"/>
    <w:rsid w:val="326F31EA"/>
    <w:rsid w:val="33292712"/>
    <w:rsid w:val="33445128"/>
    <w:rsid w:val="33D72119"/>
    <w:rsid w:val="33DA309D"/>
    <w:rsid w:val="34272982"/>
    <w:rsid w:val="34650A83"/>
    <w:rsid w:val="346E1392"/>
    <w:rsid w:val="34860FB8"/>
    <w:rsid w:val="34B87EDC"/>
    <w:rsid w:val="34E8105C"/>
    <w:rsid w:val="35635123"/>
    <w:rsid w:val="356F78EC"/>
    <w:rsid w:val="36992FA1"/>
    <w:rsid w:val="37117919"/>
    <w:rsid w:val="375201D1"/>
    <w:rsid w:val="37A24C61"/>
    <w:rsid w:val="38035CCF"/>
    <w:rsid w:val="384322D3"/>
    <w:rsid w:val="38B90A1D"/>
    <w:rsid w:val="38D77FCD"/>
    <w:rsid w:val="393206E7"/>
    <w:rsid w:val="3935166B"/>
    <w:rsid w:val="39635633"/>
    <w:rsid w:val="39C678D5"/>
    <w:rsid w:val="39DA3FF3"/>
    <w:rsid w:val="3A263172"/>
    <w:rsid w:val="3A351E23"/>
    <w:rsid w:val="3A844811"/>
    <w:rsid w:val="3B261E1B"/>
    <w:rsid w:val="3B2B62A3"/>
    <w:rsid w:val="3B5A7CEC"/>
    <w:rsid w:val="3B8C75C1"/>
    <w:rsid w:val="3BC4519D"/>
    <w:rsid w:val="3C063688"/>
    <w:rsid w:val="3C1A101E"/>
    <w:rsid w:val="3C666F24"/>
    <w:rsid w:val="3CB67FA8"/>
    <w:rsid w:val="3D1C31D0"/>
    <w:rsid w:val="3D454394"/>
    <w:rsid w:val="3E61216A"/>
    <w:rsid w:val="3ECB7693"/>
    <w:rsid w:val="3EF63D5B"/>
    <w:rsid w:val="3F112386"/>
    <w:rsid w:val="3FD15E98"/>
    <w:rsid w:val="400C38A3"/>
    <w:rsid w:val="40130CAF"/>
    <w:rsid w:val="403533E2"/>
    <w:rsid w:val="40392451"/>
    <w:rsid w:val="404364B8"/>
    <w:rsid w:val="40533A08"/>
    <w:rsid w:val="40A211C2"/>
    <w:rsid w:val="40F402D6"/>
    <w:rsid w:val="412752F4"/>
    <w:rsid w:val="418C7217"/>
    <w:rsid w:val="41955928"/>
    <w:rsid w:val="41AD51CD"/>
    <w:rsid w:val="4221770A"/>
    <w:rsid w:val="423D703A"/>
    <w:rsid w:val="424234C2"/>
    <w:rsid w:val="429960CF"/>
    <w:rsid w:val="42F951EF"/>
    <w:rsid w:val="440E14B4"/>
    <w:rsid w:val="44524527"/>
    <w:rsid w:val="44B8774F"/>
    <w:rsid w:val="44FF683E"/>
    <w:rsid w:val="451851EA"/>
    <w:rsid w:val="45E14C32"/>
    <w:rsid w:val="46C042A0"/>
    <w:rsid w:val="472A74DB"/>
    <w:rsid w:val="47801105"/>
    <w:rsid w:val="47A74625"/>
    <w:rsid w:val="48786E75"/>
    <w:rsid w:val="48BC2DE1"/>
    <w:rsid w:val="48FB0348"/>
    <w:rsid w:val="493F33BB"/>
    <w:rsid w:val="496A1C80"/>
    <w:rsid w:val="49722D7F"/>
    <w:rsid w:val="49935043"/>
    <w:rsid w:val="4AB467A0"/>
    <w:rsid w:val="4AD359CF"/>
    <w:rsid w:val="4ADA535A"/>
    <w:rsid w:val="4AE975FB"/>
    <w:rsid w:val="4B211352"/>
    <w:rsid w:val="4B8435F5"/>
    <w:rsid w:val="4CB074DF"/>
    <w:rsid w:val="4D2E5BAF"/>
    <w:rsid w:val="4D6C5694"/>
    <w:rsid w:val="4D973F59"/>
    <w:rsid w:val="4DAB5178"/>
    <w:rsid w:val="4DC0189A"/>
    <w:rsid w:val="4DE16861"/>
    <w:rsid w:val="4E04238F"/>
    <w:rsid w:val="4E235B10"/>
    <w:rsid w:val="4E7074C0"/>
    <w:rsid w:val="4E742810"/>
    <w:rsid w:val="4E7500C4"/>
    <w:rsid w:val="4ECB3FE5"/>
    <w:rsid w:val="4F745A69"/>
    <w:rsid w:val="4F7F7AEB"/>
    <w:rsid w:val="4FE373A1"/>
    <w:rsid w:val="511A41D9"/>
    <w:rsid w:val="513C2E56"/>
    <w:rsid w:val="51802646"/>
    <w:rsid w:val="51A45CFD"/>
    <w:rsid w:val="51DF265F"/>
    <w:rsid w:val="51E4236A"/>
    <w:rsid w:val="52221E4F"/>
    <w:rsid w:val="52523FA2"/>
    <w:rsid w:val="52A72C63"/>
    <w:rsid w:val="532B0103"/>
    <w:rsid w:val="54192DBF"/>
    <w:rsid w:val="5507090D"/>
    <w:rsid w:val="554A487A"/>
    <w:rsid w:val="557312C2"/>
    <w:rsid w:val="55D91A6E"/>
    <w:rsid w:val="560378AC"/>
    <w:rsid w:val="566662CB"/>
    <w:rsid w:val="56C169E5"/>
    <w:rsid w:val="573A53AA"/>
    <w:rsid w:val="57A8345F"/>
    <w:rsid w:val="57AD4064"/>
    <w:rsid w:val="57E148BE"/>
    <w:rsid w:val="5867252C"/>
    <w:rsid w:val="5910752F"/>
    <w:rsid w:val="5A0A51C8"/>
    <w:rsid w:val="5A4675AB"/>
    <w:rsid w:val="5BB054F9"/>
    <w:rsid w:val="5BCC4E29"/>
    <w:rsid w:val="5C595833"/>
    <w:rsid w:val="5D0403A9"/>
    <w:rsid w:val="5D2850E5"/>
    <w:rsid w:val="5D295176"/>
    <w:rsid w:val="5D530128"/>
    <w:rsid w:val="5DB00CD9"/>
    <w:rsid w:val="5E082F75"/>
    <w:rsid w:val="5E3C3929"/>
    <w:rsid w:val="5ED660A5"/>
    <w:rsid w:val="5F056BF5"/>
    <w:rsid w:val="5F63118D"/>
    <w:rsid w:val="5FDC33D5"/>
    <w:rsid w:val="6065307F"/>
    <w:rsid w:val="60C32BD1"/>
    <w:rsid w:val="60CA19D8"/>
    <w:rsid w:val="60CF5E60"/>
    <w:rsid w:val="60D96770"/>
    <w:rsid w:val="60E03B7C"/>
    <w:rsid w:val="618C664A"/>
    <w:rsid w:val="61915F1E"/>
    <w:rsid w:val="61E821B0"/>
    <w:rsid w:val="61FE0AD0"/>
    <w:rsid w:val="62B40F55"/>
    <w:rsid w:val="63AD4F94"/>
    <w:rsid w:val="63B061F1"/>
    <w:rsid w:val="644C161A"/>
    <w:rsid w:val="646D1B4F"/>
    <w:rsid w:val="64F02128"/>
    <w:rsid w:val="650023C2"/>
    <w:rsid w:val="6525440C"/>
    <w:rsid w:val="65A166C8"/>
    <w:rsid w:val="65E826C0"/>
    <w:rsid w:val="661A0911"/>
    <w:rsid w:val="66426252"/>
    <w:rsid w:val="664C23E4"/>
    <w:rsid w:val="66B6078F"/>
    <w:rsid w:val="66B64012"/>
    <w:rsid w:val="674C6704"/>
    <w:rsid w:val="676E37C1"/>
    <w:rsid w:val="678F5EF4"/>
    <w:rsid w:val="67BF6A43"/>
    <w:rsid w:val="68CB5C7C"/>
    <w:rsid w:val="69010354"/>
    <w:rsid w:val="6942558D"/>
    <w:rsid w:val="69625A81"/>
    <w:rsid w:val="696525F7"/>
    <w:rsid w:val="69787099"/>
    <w:rsid w:val="69EB3B55"/>
    <w:rsid w:val="6A0D758C"/>
    <w:rsid w:val="6A5A3E08"/>
    <w:rsid w:val="6AC769BB"/>
    <w:rsid w:val="6B0F3052"/>
    <w:rsid w:val="6B5019E3"/>
    <w:rsid w:val="6BC87862"/>
    <w:rsid w:val="6BC95B18"/>
    <w:rsid w:val="6C6A15EA"/>
    <w:rsid w:val="6D282CA2"/>
    <w:rsid w:val="6D403BCC"/>
    <w:rsid w:val="6D5E3C84"/>
    <w:rsid w:val="6D73789E"/>
    <w:rsid w:val="6DD72E46"/>
    <w:rsid w:val="6DE92D82"/>
    <w:rsid w:val="6EB8009F"/>
    <w:rsid w:val="6EE20D79"/>
    <w:rsid w:val="702F681D"/>
    <w:rsid w:val="706224EF"/>
    <w:rsid w:val="70A05857"/>
    <w:rsid w:val="70A5599A"/>
    <w:rsid w:val="7187709C"/>
    <w:rsid w:val="72602B93"/>
    <w:rsid w:val="728E17FF"/>
    <w:rsid w:val="72BF14E4"/>
    <w:rsid w:val="72DB607B"/>
    <w:rsid w:val="73683C95"/>
    <w:rsid w:val="74144E7E"/>
    <w:rsid w:val="741B3FD0"/>
    <w:rsid w:val="74510D7A"/>
    <w:rsid w:val="74604FAC"/>
    <w:rsid w:val="74A259E7"/>
    <w:rsid w:val="750C2E98"/>
    <w:rsid w:val="751F40B7"/>
    <w:rsid w:val="7524053F"/>
    <w:rsid w:val="7592164A"/>
    <w:rsid w:val="7616334A"/>
    <w:rsid w:val="763C5788"/>
    <w:rsid w:val="76C61E69"/>
    <w:rsid w:val="77260F89"/>
    <w:rsid w:val="772F05CC"/>
    <w:rsid w:val="77430539"/>
    <w:rsid w:val="77A45FD4"/>
    <w:rsid w:val="77F41576"/>
    <w:rsid w:val="782E17BB"/>
    <w:rsid w:val="79377B4D"/>
    <w:rsid w:val="79427FFF"/>
    <w:rsid w:val="796075AF"/>
    <w:rsid w:val="79BA2F1D"/>
    <w:rsid w:val="79F20909"/>
    <w:rsid w:val="7A096743"/>
    <w:rsid w:val="7A304404"/>
    <w:rsid w:val="7A3D7C35"/>
    <w:rsid w:val="7A5D2F51"/>
    <w:rsid w:val="7A7B6B83"/>
    <w:rsid w:val="7A8B129B"/>
    <w:rsid w:val="7A956D41"/>
    <w:rsid w:val="7B123BE8"/>
    <w:rsid w:val="7B286B9A"/>
    <w:rsid w:val="7BC9362C"/>
    <w:rsid w:val="7BEB31DA"/>
    <w:rsid w:val="7C1A5F8F"/>
    <w:rsid w:val="7C694FA8"/>
    <w:rsid w:val="7C8413A1"/>
    <w:rsid w:val="7CCF6CE0"/>
    <w:rsid w:val="7D1144BC"/>
    <w:rsid w:val="7DCA16EC"/>
    <w:rsid w:val="7DE67D76"/>
    <w:rsid w:val="7E5E415E"/>
    <w:rsid w:val="7F163178"/>
    <w:rsid w:val="7F17019C"/>
    <w:rsid w:val="7F2F6A35"/>
    <w:rsid w:val="7F4334D7"/>
    <w:rsid w:val="7F8F5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emf"/><Relationship Id="rId7" Type="http://schemas.openxmlformats.org/officeDocument/2006/relationships/oleObject" Target="embeddings/oleObject2.bin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jpe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theme" Target="theme/theme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424</Words>
  <Characters>492</Characters>
  <Lines>1</Lines>
  <Paragraphs>1</Paragraphs>
  <TotalTime>0</TotalTime>
  <ScaleCrop>false</ScaleCrop>
  <LinksUpToDate>false</LinksUpToDate>
  <CharactersWithSpaces>530</CharactersWithSpaces>
  <Application>WPS Office_11.8.2.12055_F1E327BC-269C-435d-A152-05C5408002CA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2022-06-08T03:36:00Z</dcterms:created>
  <dc:creator>淡淡</dc:creator>
  <cp:lastModifiedBy>Administrator</cp:lastModifiedBy>
  <dcterms:modified xsi:type="dcterms:W3CDTF">2025-01-17T03:12:10Z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2052-11.8.2.12055</vt:lpwstr>
  </property>
  <property fmtid="{D5CDD505-2E9C-101B-9397-08002B2CF9AE}" pid="3" name="ICV">
    <vt:lpwstr>B2BF197C747E4365B58C990752F9F0A5</vt:lpwstr>
  </property>
</Properties>
</file>